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C7" w:rsidRPr="00CD1013" w:rsidRDefault="006840C7" w:rsidP="006840C7">
      <w:pPr>
        <w:pStyle w:val="Box"/>
        <w:spacing w:after="120" w:line="276" w:lineRule="auto"/>
        <w:jc w:val="center"/>
        <w:rPr>
          <w:rFonts w:ascii="Vitesse Black" w:hAnsi="Vitesse Black"/>
          <w:b/>
          <w:color w:val="000000"/>
          <w:sz w:val="40"/>
          <w:szCs w:val="40"/>
          <w:u w:color="000000"/>
        </w:rPr>
      </w:pPr>
      <w:bookmarkStart w:id="0" w:name="_Toc363212633"/>
      <w:bookmarkStart w:id="1" w:name="_Toc364001625"/>
      <w:bookmarkStart w:id="2" w:name="A8"/>
      <w:r w:rsidRPr="00CD1013">
        <w:rPr>
          <w:rFonts w:ascii="Vitesse Black" w:hAnsi="Vitesse Black"/>
          <w:b/>
          <w:color w:val="000000"/>
          <w:sz w:val="40"/>
          <w:szCs w:val="40"/>
          <w:u w:color="000000"/>
        </w:rPr>
        <w:t>GEORGIA TECH PUBLIC RELATIONS AND MEDIA</w:t>
      </w:r>
      <w:bookmarkEnd w:id="0"/>
      <w:bookmarkEnd w:id="1"/>
    </w:p>
    <w:bookmarkEnd w:id="2"/>
    <w:p w:rsidR="006840C7" w:rsidRPr="00CD1013" w:rsidRDefault="006840C7" w:rsidP="006840C7">
      <w:pPr>
        <w:pStyle w:val="Box"/>
        <w:spacing w:after="120" w:line="276" w:lineRule="auto"/>
        <w:jc w:val="center"/>
        <w:rPr>
          <w:rFonts w:ascii="Vitesse Black" w:hAnsi="Vitesse Black"/>
          <w:b/>
          <w:color w:val="000000"/>
          <w:sz w:val="32"/>
          <w:szCs w:val="32"/>
          <w:u w:color="000000"/>
        </w:rPr>
      </w:pPr>
      <w:r w:rsidRPr="00CD1013">
        <w:rPr>
          <w:rFonts w:ascii="Vitesse Black" w:hAnsi="Vitesse Black"/>
          <w:b/>
          <w:color w:val="000000"/>
          <w:sz w:val="32"/>
          <w:szCs w:val="32"/>
          <w:u w:color="000000"/>
        </w:rPr>
        <w:t xml:space="preserve">SUPPORT STUDENTS AND PARTNERS: </w:t>
      </w:r>
      <w:r w:rsidRPr="00CD1013">
        <w:rPr>
          <w:rFonts w:ascii="Vitesse Black" w:hAnsi="Vitesse Black"/>
          <w:b/>
          <w:i/>
          <w:color w:val="000000"/>
          <w:sz w:val="32"/>
          <w:szCs w:val="32"/>
          <w:u w:color="000000"/>
        </w:rPr>
        <w:t>Wrap Up</w:t>
      </w:r>
      <w:r w:rsidRPr="00CD1013">
        <w:rPr>
          <w:rFonts w:ascii="Vitesse Black" w:hAnsi="Vitesse Black"/>
          <w:b/>
          <w:color w:val="000000"/>
          <w:sz w:val="32"/>
          <w:szCs w:val="32"/>
          <w:u w:color="000000"/>
        </w:rPr>
        <w:t xml:space="preserve">; GROW THE RELATIONSHIP: </w:t>
      </w:r>
      <w:r w:rsidRPr="00CD1013">
        <w:rPr>
          <w:rFonts w:ascii="Vitesse Black" w:hAnsi="Vitesse Black"/>
          <w:b/>
          <w:i/>
          <w:color w:val="000000"/>
          <w:sz w:val="32"/>
          <w:szCs w:val="32"/>
          <w:u w:color="000000"/>
        </w:rPr>
        <w:t>Spread the Word</w:t>
      </w:r>
    </w:p>
    <w:p w:rsidR="006840C7" w:rsidRPr="008858E6" w:rsidRDefault="006840C7" w:rsidP="006840C7">
      <w:pPr>
        <w:pBdr>
          <w:top w:val="nil"/>
          <w:left w:val="nil"/>
          <w:bottom w:val="nil"/>
          <w:right w:val="nil"/>
          <w:between w:val="nil"/>
        </w:pBdr>
        <w:spacing w:after="120" w:line="276" w:lineRule="auto"/>
        <w:jc w:val="center"/>
        <w:rPr>
          <w:rFonts w:ascii="Helvetica" w:eastAsia="MS Gothic" w:hAnsi="Helvetica" w:cs="Helvetica"/>
          <w:b/>
          <w:bCs/>
          <w:color w:val="4F81BD"/>
        </w:rPr>
      </w:pPr>
      <w:r w:rsidRPr="008858E6">
        <w:rPr>
          <w:rFonts w:ascii="Helvetica" w:eastAsia="MS Gothic" w:hAnsi="Helvetica" w:cs="Helvetica"/>
          <w:b/>
          <w:bCs/>
          <w:noProof/>
          <w:color w:val="4F81BD"/>
        </w:rPr>
        <w:drawing>
          <wp:inline distT="0" distB="0" distL="0" distR="0" wp14:anchorId="57605E0D" wp14:editId="2704F32A">
            <wp:extent cx="544749" cy="54474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610" cy="545610"/>
                    </a:xfrm>
                    <a:prstGeom prst="rect">
                      <a:avLst/>
                    </a:prstGeom>
                    <a:noFill/>
                    <a:ln>
                      <a:noFill/>
                    </a:ln>
                  </pic:spPr>
                </pic:pic>
              </a:graphicData>
            </a:graphic>
          </wp:inline>
        </w:drawing>
      </w:r>
      <w:r w:rsidRPr="008858E6">
        <w:rPr>
          <w:rFonts w:ascii="Helvetica" w:eastAsia="MS Gothic" w:hAnsi="Helvetica" w:cs="Helvetica"/>
          <w:b/>
          <w:bCs/>
          <w:color w:val="4F81BD"/>
        </w:rPr>
        <w:tab/>
      </w:r>
      <w:r w:rsidRPr="008858E6">
        <w:rPr>
          <w:rFonts w:ascii="Helvetica" w:eastAsia="MS Gothic" w:hAnsi="Helvetica" w:cs="Helvetica"/>
          <w:b/>
          <w:bCs/>
          <w:noProof/>
          <w:color w:val="4F81BD"/>
        </w:rPr>
        <w:drawing>
          <wp:inline distT="0" distB="0" distL="0" distR="0" wp14:anchorId="03F14EF4" wp14:editId="5B6E9F0F">
            <wp:extent cx="544749" cy="54474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31" cy="545031"/>
                    </a:xfrm>
                    <a:prstGeom prst="rect">
                      <a:avLst/>
                    </a:prstGeom>
                    <a:noFill/>
                    <a:ln>
                      <a:noFill/>
                    </a:ln>
                  </pic:spPr>
                </pic:pic>
              </a:graphicData>
            </a:graphic>
          </wp:inline>
        </w:drawing>
      </w:r>
      <w:r w:rsidRPr="008858E6">
        <w:rPr>
          <w:rFonts w:ascii="Helvetica" w:eastAsia="MS Gothic" w:hAnsi="Helvetica" w:cs="Helvetica"/>
          <w:b/>
          <w:bCs/>
          <w:color w:val="4F81BD"/>
        </w:rPr>
        <w:tab/>
      </w:r>
      <w:r w:rsidRPr="008858E6">
        <w:rPr>
          <w:rFonts w:ascii="Helvetica" w:eastAsia="MS Gothic" w:hAnsi="Helvetica" w:cs="Helvetica"/>
          <w:b/>
          <w:bCs/>
          <w:noProof/>
          <w:color w:val="4F81BD"/>
        </w:rPr>
        <w:drawing>
          <wp:inline distT="0" distB="0" distL="0" distR="0" wp14:anchorId="3DD8FA09" wp14:editId="47FD0136">
            <wp:extent cx="534805" cy="5348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071" cy="535071"/>
                    </a:xfrm>
                    <a:prstGeom prst="rect">
                      <a:avLst/>
                    </a:prstGeom>
                    <a:noFill/>
                    <a:ln>
                      <a:noFill/>
                    </a:ln>
                  </pic:spPr>
                </pic:pic>
              </a:graphicData>
            </a:graphic>
          </wp:inline>
        </w:drawing>
      </w:r>
      <w:r w:rsidRPr="008858E6">
        <w:rPr>
          <w:rFonts w:ascii="Helvetica" w:eastAsia="MS Gothic" w:hAnsi="Helvetica" w:cs="Helvetica"/>
          <w:b/>
          <w:bCs/>
          <w:color w:val="4F81BD"/>
        </w:rPr>
        <w:tab/>
      </w:r>
      <w:r w:rsidRPr="008858E6">
        <w:rPr>
          <w:rFonts w:ascii="Helvetica" w:eastAsia="MS Gothic" w:hAnsi="Helvetica" w:cs="Helvetica"/>
          <w:b/>
          <w:bCs/>
          <w:noProof/>
          <w:color w:val="4F81BD"/>
        </w:rPr>
        <w:drawing>
          <wp:inline distT="0" distB="0" distL="0" distR="0" wp14:anchorId="50245B91" wp14:editId="1DD9B98C">
            <wp:extent cx="544749" cy="54474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922" cy="544922"/>
                    </a:xfrm>
                    <a:prstGeom prst="rect">
                      <a:avLst/>
                    </a:prstGeom>
                    <a:noFill/>
                    <a:ln>
                      <a:noFill/>
                    </a:ln>
                  </pic:spPr>
                </pic:pic>
              </a:graphicData>
            </a:graphic>
          </wp:inline>
        </w:drawing>
      </w:r>
    </w:p>
    <w:p w:rsidR="006840C7" w:rsidRPr="008858E6" w:rsidRDefault="006840C7" w:rsidP="006840C7">
      <w:pPr>
        <w:spacing w:after="120" w:line="276" w:lineRule="auto"/>
        <w:rPr>
          <w:rFonts w:ascii="Helvetica" w:hAnsi="Helvetica" w:cs="Helvetica"/>
        </w:rPr>
      </w:pPr>
      <w:r w:rsidRPr="008858E6">
        <w:rPr>
          <w:rFonts w:ascii="Helvetica" w:hAnsi="Helvetica" w:cs="Helvetica"/>
        </w:rPr>
        <w:t xml:space="preserve">Georgia Tech provides faculty with </w:t>
      </w:r>
      <w:proofErr w:type="gramStart"/>
      <w:r w:rsidRPr="008858E6">
        <w:rPr>
          <w:rFonts w:ascii="Helvetica" w:hAnsi="Helvetica" w:cs="Helvetica"/>
        </w:rPr>
        <w:t>a number of</w:t>
      </w:r>
      <w:proofErr w:type="gramEnd"/>
      <w:r w:rsidRPr="008858E6">
        <w:rPr>
          <w:rFonts w:ascii="Helvetica" w:hAnsi="Helvetica" w:cs="Helvetica"/>
        </w:rPr>
        <w:t xml:space="preserve"> relevant services and resources that will be helpful as you plan events to highlight your community-engaged teaching or the end results of projects. They have also put together a useful guide to </w:t>
      </w:r>
      <w:proofErr w:type="gramStart"/>
      <w:r w:rsidRPr="008858E6">
        <w:rPr>
          <w:rFonts w:ascii="Helvetica" w:hAnsi="Helvetica" w:cs="Helvetica"/>
        </w:rPr>
        <w:t>a number of</w:t>
      </w:r>
      <w:proofErr w:type="gramEnd"/>
      <w:r w:rsidRPr="008858E6">
        <w:rPr>
          <w:rFonts w:ascii="Helvetica" w:hAnsi="Helvetica" w:cs="Helvetica"/>
        </w:rPr>
        <w:t xml:space="preserve"> avenues through which you can share your work at Georgia Tech in a </w:t>
      </w:r>
      <w:hyperlink r:id="rId11" w:history="1">
        <w:r w:rsidRPr="008858E6">
          <w:rPr>
            <w:rFonts w:ascii="Helvetica" w:hAnsi="Helvetica" w:cs="Helvetica"/>
            <w:color w:val="0000FF"/>
            <w:u w:val="single"/>
          </w:rPr>
          <w:t>Campus Communications Guide</w:t>
        </w:r>
      </w:hyperlink>
      <w:r w:rsidRPr="008858E6">
        <w:rPr>
          <w:rFonts w:ascii="Helvetica" w:hAnsi="Helvetica" w:cs="Helvetica"/>
        </w:rPr>
        <w:t xml:space="preserve">. </w:t>
      </w:r>
    </w:p>
    <w:p w:rsidR="006840C7" w:rsidRPr="008858E6" w:rsidRDefault="006840C7" w:rsidP="006840C7">
      <w:pPr>
        <w:spacing w:after="120" w:line="276" w:lineRule="auto"/>
        <w:rPr>
          <w:rFonts w:ascii="Helvetica" w:hAnsi="Helvetica" w:cs="Helvetica"/>
        </w:rPr>
      </w:pPr>
      <w:r w:rsidRPr="008858E6">
        <w:rPr>
          <w:rFonts w:ascii="Helvetica" w:hAnsi="Helvetica" w:cs="Helvetica"/>
        </w:rPr>
        <w:t>Georgia Tech PR &amp; Marketing Services for Community-engaged courses:</w:t>
      </w:r>
    </w:p>
    <w:p w:rsidR="006840C7" w:rsidRPr="008858E6" w:rsidRDefault="006840C7" w:rsidP="006840C7">
      <w:pPr>
        <w:spacing w:after="120" w:line="276" w:lineRule="auto"/>
        <w:rPr>
          <w:rFonts w:ascii="Helvetica" w:hAnsi="Helvetica" w:cs="Helvetica"/>
        </w:rPr>
      </w:pPr>
      <w:hyperlink r:id="rId12" w:history="1">
        <w:r w:rsidRPr="008858E6">
          <w:rPr>
            <w:rFonts w:ascii="Helvetica" w:hAnsi="Helvetica" w:cs="Helvetica"/>
            <w:color w:val="0000FF"/>
            <w:u w:val="single"/>
          </w:rPr>
          <w:t>Photography and video production</w:t>
        </w:r>
      </w:hyperlink>
      <w:r w:rsidRPr="008858E6">
        <w:rPr>
          <w:rFonts w:ascii="Helvetica" w:hAnsi="Helvetica" w:cs="Helvetica"/>
        </w:rPr>
        <w:t xml:space="preserve"> offers services for campus events but can also help support documenting and sharing the products of your work through video editing, animation, graphics, and location filming, to name a few. </w:t>
      </w:r>
    </w:p>
    <w:p w:rsidR="006840C7" w:rsidRPr="008858E6" w:rsidRDefault="006840C7" w:rsidP="006840C7">
      <w:pPr>
        <w:spacing w:after="120" w:line="276" w:lineRule="auto"/>
        <w:rPr>
          <w:rFonts w:ascii="Helvetica" w:hAnsi="Helvetica" w:cs="Helvetica"/>
        </w:rPr>
      </w:pPr>
      <w:hyperlink r:id="rId13" w:history="1">
        <w:r w:rsidRPr="008858E6">
          <w:rPr>
            <w:rFonts w:ascii="Helvetica" w:hAnsi="Helvetica" w:cs="Helvetica"/>
            <w:color w:val="0000FF"/>
            <w:u w:val="single"/>
          </w:rPr>
          <w:t>Design Services</w:t>
        </w:r>
      </w:hyperlink>
      <w:r w:rsidRPr="008858E6">
        <w:rPr>
          <w:rFonts w:ascii="Helvetica" w:hAnsi="Helvetica" w:cs="Helvetica"/>
        </w:rPr>
        <w:t xml:space="preserve"> can support your work by helping with planning, design, production, paper and digital design, and printing for any materials you, your students, and your community partners co-produce and want to share publicly.  </w:t>
      </w:r>
    </w:p>
    <w:p w:rsidR="006840C7" w:rsidRPr="008858E6" w:rsidRDefault="006840C7" w:rsidP="006840C7">
      <w:pPr>
        <w:spacing w:after="120" w:line="276" w:lineRule="auto"/>
        <w:rPr>
          <w:rFonts w:ascii="Helvetica" w:hAnsi="Helvetica" w:cs="Helvetica"/>
          <w:color w:val="262626"/>
          <w:spacing w:val="6"/>
        </w:rPr>
      </w:pPr>
      <w:r w:rsidRPr="008858E6">
        <w:rPr>
          <w:rFonts w:ascii="Helvetica" w:hAnsi="Helvetica" w:cs="Helvetica"/>
          <w:color w:val="262626"/>
          <w:spacing w:val="6"/>
        </w:rPr>
        <w:t xml:space="preserve">Their </w:t>
      </w:r>
      <w:hyperlink r:id="rId14" w:history="1">
        <w:r w:rsidRPr="008858E6">
          <w:rPr>
            <w:rFonts w:ascii="Helvetica" w:hAnsi="Helvetica" w:cs="Helvetica"/>
            <w:color w:val="0000FF"/>
            <w:spacing w:val="6"/>
            <w:u w:val="single"/>
          </w:rPr>
          <w:t>websites</w:t>
        </w:r>
      </w:hyperlink>
      <w:r w:rsidRPr="008858E6">
        <w:rPr>
          <w:rFonts w:ascii="Helvetica" w:hAnsi="Helvetica" w:cs="Helvetica"/>
          <w:color w:val="262626"/>
          <w:spacing w:val="6"/>
        </w:rPr>
        <w:t xml:space="preserve"> and </w:t>
      </w:r>
      <w:hyperlink r:id="rId15" w:history="1">
        <w:r w:rsidRPr="008858E6">
          <w:rPr>
            <w:rFonts w:ascii="Helvetica" w:hAnsi="Helvetica" w:cs="Helvetica"/>
            <w:color w:val="0000FF"/>
            <w:spacing w:val="6"/>
            <w:u w:val="single"/>
          </w:rPr>
          <w:t>social media</w:t>
        </w:r>
      </w:hyperlink>
      <w:r w:rsidRPr="008858E6">
        <w:rPr>
          <w:rFonts w:ascii="Helvetica" w:hAnsi="Helvetica" w:cs="Helvetica"/>
          <w:color w:val="262626"/>
          <w:spacing w:val="6"/>
        </w:rPr>
        <w:t xml:space="preserve"> support may be useful for courses with digital components. </w:t>
      </w:r>
    </w:p>
    <w:p w:rsidR="006840C7" w:rsidRPr="008858E6" w:rsidRDefault="006840C7" w:rsidP="006840C7">
      <w:pPr>
        <w:spacing w:after="120" w:line="276" w:lineRule="auto"/>
        <w:rPr>
          <w:rFonts w:ascii="Helvetica" w:hAnsi="Helvetica" w:cs="Helvetica"/>
        </w:rPr>
      </w:pPr>
      <w:r w:rsidRPr="008858E6">
        <w:rPr>
          <w:rFonts w:ascii="Helvetica" w:hAnsi="Helvetica" w:cs="Helvetica"/>
          <w:color w:val="262626"/>
          <w:spacing w:val="6"/>
        </w:rPr>
        <w:t>Many community-</w:t>
      </w:r>
      <w:r w:rsidRPr="008858E6">
        <w:rPr>
          <w:rFonts w:ascii="Helvetica" w:hAnsi="Helvetica" w:cs="Helvetica"/>
        </w:rPr>
        <w:t xml:space="preserve">engaged courses end their year with presentations of final projects and celebrations. It is great to host one of these on campus and the </w:t>
      </w:r>
      <w:hyperlink r:id="rId16" w:history="1">
        <w:r w:rsidRPr="008858E6">
          <w:rPr>
            <w:rFonts w:ascii="Helvetica" w:hAnsi="Helvetica" w:cs="Helvetica"/>
            <w:color w:val="0000FF"/>
            <w:u w:val="single"/>
          </w:rPr>
          <w:t>Event Planning Guide</w:t>
        </w:r>
      </w:hyperlink>
      <w:r w:rsidRPr="008858E6">
        <w:rPr>
          <w:rFonts w:ascii="Helvetica" w:hAnsi="Helvetica" w:cs="Helvetica"/>
        </w:rPr>
        <w:t xml:space="preserve"> can take you step by step through this process. To make this sizeable amount of material on event planning more digestible, below we break down the most relevant Georgia Tech Communications and Event Planning steps and services for faculty teaching community-engaged courses.</w:t>
      </w:r>
    </w:p>
    <w:p w:rsidR="006840C7" w:rsidRPr="008858E6" w:rsidRDefault="006840C7" w:rsidP="006840C7">
      <w:pPr>
        <w:spacing w:after="120" w:line="276" w:lineRule="auto"/>
        <w:rPr>
          <w:rFonts w:ascii="Helvetica" w:hAnsi="Helvetica" w:cs="Helvetica"/>
        </w:rPr>
      </w:pPr>
      <w:r w:rsidRPr="008858E6">
        <w:rPr>
          <w:rFonts w:ascii="Helvetica" w:hAnsi="Helvetica" w:cs="Helvetica"/>
        </w:rPr>
        <w:t>Georgia Tech Event Planning Shortened Checklist: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Confirm attendance early from all those you want to be sure are in the room</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Make a rain plan</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Set roles and responsibilities for students and partners (if applicable) leading up to and at the event</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 xml:space="preserve">Select a venue that meets </w:t>
      </w:r>
      <w:proofErr w:type="gramStart"/>
      <w:r w:rsidRPr="008858E6">
        <w:rPr>
          <w:rFonts w:ascii="Helvetica" w:hAnsi="Helvetica" w:cs="Helvetica"/>
        </w:rPr>
        <w:t>all of</w:t>
      </w:r>
      <w:proofErr w:type="gramEnd"/>
      <w:r w:rsidRPr="008858E6">
        <w:rPr>
          <w:rFonts w:ascii="Helvetica" w:hAnsi="Helvetica" w:cs="Helvetica"/>
        </w:rPr>
        <w:t xml:space="preserve"> your technical and space needs</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Create a budget</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lastRenderedPageBreak/>
        <w:t xml:space="preserve">Check out the list of Georgia Tech approved </w:t>
      </w:r>
      <w:hyperlink r:id="rId17" w:history="1">
        <w:r w:rsidRPr="008858E6">
          <w:rPr>
            <w:rFonts w:ascii="Helvetica" w:hAnsi="Helvetica" w:cs="Helvetica"/>
            <w:color w:val="0000FF"/>
            <w:u w:val="single"/>
          </w:rPr>
          <w:t>vendors</w:t>
        </w:r>
      </w:hyperlink>
      <w:r w:rsidRPr="008858E6">
        <w:rPr>
          <w:rFonts w:ascii="Helvetica" w:hAnsi="Helvetica" w:cs="Helvetica"/>
        </w:rPr>
        <w:t xml:space="preserve"> and </w:t>
      </w:r>
      <w:hyperlink r:id="rId18" w:history="1">
        <w:r w:rsidRPr="008858E6">
          <w:rPr>
            <w:rFonts w:ascii="Helvetica" w:hAnsi="Helvetica" w:cs="Helvetica"/>
            <w:color w:val="0000FF"/>
            <w:u w:val="single"/>
          </w:rPr>
          <w:t>caterers</w:t>
        </w:r>
      </w:hyperlink>
      <w:r w:rsidRPr="008858E6">
        <w:rPr>
          <w:rFonts w:ascii="Helvetica" w:hAnsi="Helvetica" w:cs="Helvetica"/>
        </w:rPr>
        <w:t xml:space="preserve">, Consider </w:t>
      </w:r>
      <w:hyperlink r:id="rId19" w:history="1">
        <w:r w:rsidRPr="008858E6">
          <w:rPr>
            <w:rFonts w:ascii="Helvetica" w:hAnsi="Helvetica" w:cs="Helvetica"/>
            <w:color w:val="0000FF"/>
            <w:u w:val="single"/>
          </w:rPr>
          <w:t>local/sustainable options</w:t>
        </w:r>
      </w:hyperlink>
      <w:r w:rsidRPr="008858E6">
        <w:rPr>
          <w:rFonts w:ascii="Helvetica" w:hAnsi="Helvetica" w:cs="Helvetica"/>
        </w:rPr>
        <w:t>, select one, and book with them early</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 xml:space="preserve">Develop a communications plan for reminders and a day-of plan to ensure that </w:t>
      </w:r>
      <w:proofErr w:type="gramStart"/>
      <w:r w:rsidRPr="008858E6">
        <w:rPr>
          <w:rFonts w:ascii="Helvetica" w:hAnsi="Helvetica" w:cs="Helvetica"/>
        </w:rPr>
        <w:t>all of</w:t>
      </w:r>
      <w:proofErr w:type="gramEnd"/>
      <w:r w:rsidRPr="008858E6">
        <w:rPr>
          <w:rFonts w:ascii="Helvetica" w:hAnsi="Helvetica" w:cs="Helvetica"/>
        </w:rPr>
        <w:t xml:space="preserve"> the details are set before the event</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 xml:space="preserve">Contact </w:t>
      </w:r>
      <w:hyperlink r:id="rId20" w:history="1">
        <w:r w:rsidRPr="008858E6">
          <w:rPr>
            <w:rFonts w:ascii="Helvetica" w:hAnsi="Helvetica" w:cs="Helvetica"/>
            <w:color w:val="0000FF"/>
            <w:u w:val="single"/>
          </w:rPr>
          <w:t>Parking and Transportation</w:t>
        </w:r>
      </w:hyperlink>
      <w:r w:rsidRPr="008858E6">
        <w:rPr>
          <w:rFonts w:ascii="Helvetica" w:hAnsi="Helvetica" w:cs="Helvetica"/>
        </w:rPr>
        <w:t xml:space="preserve"> and make sure that guests know where to park</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 xml:space="preserve">Request </w:t>
      </w:r>
      <w:hyperlink r:id="rId21" w:history="1">
        <w:r w:rsidRPr="008858E6">
          <w:rPr>
            <w:rFonts w:ascii="Helvetica" w:hAnsi="Helvetica" w:cs="Helvetica"/>
            <w:color w:val="0000FF"/>
            <w:u w:val="single"/>
          </w:rPr>
          <w:t>photographers and videographers</w:t>
        </w:r>
      </w:hyperlink>
      <w:r w:rsidRPr="008858E6">
        <w:rPr>
          <w:rFonts w:ascii="Helvetica" w:hAnsi="Helvetica" w:cs="Helvetica"/>
        </w:rPr>
        <w:t xml:space="preserve"> from GT if applicable</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Secure A/V needs for event</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Ensure you have all supplies you need (e.g. nametags, day of roles and responsibilities, list of contact numbers)</w:t>
      </w:r>
      <w:r>
        <w:rPr>
          <w:rFonts w:ascii="Helvetica" w:hAnsi="Helvetica" w:cs="Helvetica"/>
        </w:rPr>
        <w:t>.</w:t>
      </w:r>
    </w:p>
    <w:p w:rsidR="006840C7" w:rsidRPr="008858E6" w:rsidRDefault="006840C7" w:rsidP="006840C7">
      <w:pPr>
        <w:numPr>
          <w:ilvl w:val="0"/>
          <w:numId w:val="1"/>
        </w:numPr>
        <w:spacing w:after="120" w:line="276" w:lineRule="auto"/>
        <w:rPr>
          <w:rFonts w:ascii="Helvetica" w:hAnsi="Helvetica" w:cs="Helvetica"/>
        </w:rPr>
      </w:pPr>
      <w:r w:rsidRPr="008858E6">
        <w:rPr>
          <w:rFonts w:ascii="Helvetica" w:hAnsi="Helvetica" w:cs="Helvetica"/>
        </w:rPr>
        <w:t xml:space="preserve">If you are hosting an outdoor event or a major event with more than 30 people invited, </w:t>
      </w:r>
      <w:hyperlink r:id="rId22" w:history="1">
        <w:r w:rsidRPr="008858E6">
          <w:rPr>
            <w:rFonts w:ascii="Helvetica" w:hAnsi="Helvetica" w:cs="Helvetica"/>
            <w:color w:val="0000FF"/>
            <w:u w:val="single"/>
          </w:rPr>
          <w:t>review the additional steps/tips provided</w:t>
        </w:r>
      </w:hyperlink>
      <w:r w:rsidRPr="008858E6">
        <w:rPr>
          <w:rFonts w:ascii="Helvetica" w:hAnsi="Helvetica" w:cs="Helvetica"/>
        </w:rPr>
        <w:t xml:space="preserve"> or download and print the </w:t>
      </w:r>
      <w:hyperlink r:id="rId23" w:history="1">
        <w:proofErr w:type="spellStart"/>
        <w:r w:rsidRPr="008858E6">
          <w:rPr>
            <w:rFonts w:ascii="Helvetica" w:hAnsi="Helvetica" w:cs="Helvetica"/>
            <w:color w:val="0000FF"/>
            <w:u w:val="single"/>
          </w:rPr>
          <w:t>GTech</w:t>
        </w:r>
        <w:proofErr w:type="spellEnd"/>
        <w:r w:rsidRPr="008858E6">
          <w:rPr>
            <w:rFonts w:ascii="Helvetica" w:hAnsi="Helvetica" w:cs="Helvetica"/>
            <w:color w:val="0000FF"/>
            <w:u w:val="single"/>
          </w:rPr>
          <w:t xml:space="preserve"> event checklist</w:t>
        </w:r>
      </w:hyperlink>
      <w:r>
        <w:rPr>
          <w:rFonts w:ascii="Helvetica" w:hAnsi="Helvetica" w:cs="Helvetica"/>
          <w:color w:val="0000FF"/>
          <w:u w:val="single"/>
        </w:rPr>
        <w:t>.</w:t>
      </w:r>
    </w:p>
    <w:p w:rsidR="00CB08B0" w:rsidRDefault="00CB08B0">
      <w:bookmarkStart w:id="3" w:name="_GoBack"/>
      <w:bookmarkEnd w:id="3"/>
    </w:p>
    <w:sectPr w:rsidR="00CB08B0">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8E3" w:rsidRDefault="007178E3" w:rsidP="008A1922">
      <w:r>
        <w:separator/>
      </w:r>
    </w:p>
  </w:endnote>
  <w:endnote w:type="continuationSeparator" w:id="0">
    <w:p w:rsidR="007178E3" w:rsidRDefault="007178E3" w:rsidP="008A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itesse Black">
    <w:altName w:val="Cambria"/>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Footer"/>
      <w:tabs>
        <w:tab w:val="clear" w:pos="4680"/>
        <w:tab w:val="clear" w:pos="9360"/>
        <w:tab w:val="left" w:pos="1140"/>
      </w:tabs>
    </w:pPr>
    <w:bookmarkStart w:id="5" w:name="_Hlk499624870"/>
    <w:r w:rsidRPr="008858E6">
      <w:rPr>
        <w:u w:color="000000"/>
      </w:rPr>
      <w:t>www.serve-learn-sustain.gatech.edu/teaching-resources-toolkit</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8E3" w:rsidRDefault="007178E3" w:rsidP="008A1922">
      <w:r>
        <w:separator/>
      </w:r>
    </w:p>
  </w:footnote>
  <w:footnote w:type="continuationSeparator" w:id="0">
    <w:p w:rsidR="007178E3" w:rsidRDefault="007178E3" w:rsidP="008A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22" w:rsidRDefault="008A1922" w:rsidP="008A1922">
    <w:pPr>
      <w:pStyle w:val="Header"/>
      <w:jc w:val="right"/>
    </w:pPr>
    <w:bookmarkStart w:id="4" w:name="_Hlk499624846"/>
    <w:r>
      <w:rPr>
        <w:noProof/>
      </w:rPr>
      <w:drawing>
        <wp:inline distT="0" distB="0" distL="0" distR="0" wp14:anchorId="73DBE6AF" wp14:editId="562DBAAA">
          <wp:extent cx="4817105" cy="372090"/>
          <wp:effectExtent l="0" t="0" r="0" b="0"/>
          <wp:docPr id="14" name="officeArt object" descr="Header-Footer_01-2.jpg"/>
          <wp:cNvGraphicFramePr/>
          <a:graphic xmlns:a="http://schemas.openxmlformats.org/drawingml/2006/main">
            <a:graphicData uri="http://schemas.openxmlformats.org/drawingml/2006/picture">
              <pic:pic xmlns:pic="http://schemas.openxmlformats.org/drawingml/2006/picture">
                <pic:nvPicPr>
                  <pic:cNvPr id="1073741832" name="Header-Footer_01-2.jpg" descr="Header-Footer_01-2.jpg"/>
                  <pic:cNvPicPr>
                    <a:picLocks noChangeAspect="1"/>
                  </pic:cNvPicPr>
                </pic:nvPicPr>
                <pic:blipFill>
                  <a:blip r:embed="rId1">
                    <a:extLst/>
                  </a:blip>
                  <a:stretch>
                    <a:fillRect/>
                  </a:stretch>
                </pic:blipFill>
                <pic:spPr>
                  <a:xfrm>
                    <a:off x="0" y="0"/>
                    <a:ext cx="4817105" cy="372090"/>
                  </a:xfrm>
                  <a:prstGeom prst="rect">
                    <a:avLst/>
                  </a:prstGeom>
                  <a:ln w="12700" cap="flat">
                    <a:noFill/>
                    <a:miter lim="400000"/>
                  </a:ln>
                  <a:effectLst/>
                </pic:spPr>
              </pic:pic>
            </a:graphicData>
          </a:graphic>
        </wp:inline>
      </w:drawing>
    </w:r>
  </w:p>
  <w:bookmarkEnd w:id="4"/>
  <w:p w:rsidR="008A1922" w:rsidRDefault="008A1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197B"/>
    <w:multiLevelType w:val="hybridMultilevel"/>
    <w:tmpl w:val="5C9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C7"/>
    <w:rsid w:val="000E73D8"/>
    <w:rsid w:val="006840C7"/>
    <w:rsid w:val="007178E3"/>
    <w:rsid w:val="008878EC"/>
    <w:rsid w:val="008A1922"/>
    <w:rsid w:val="00CB08B0"/>
    <w:rsid w:val="00E9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6092"/>
  <w15:chartTrackingRefBased/>
  <w15:docId w15:val="{70D304E8-130A-4243-854C-5AD9F541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0C7"/>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22"/>
    <w:pPr>
      <w:tabs>
        <w:tab w:val="center" w:pos="4680"/>
        <w:tab w:val="right" w:pos="9360"/>
      </w:tabs>
    </w:pPr>
  </w:style>
  <w:style w:type="character" w:customStyle="1" w:styleId="HeaderChar">
    <w:name w:val="Header Char"/>
    <w:basedOn w:val="DefaultParagraphFont"/>
    <w:link w:val="Header"/>
    <w:uiPriority w:val="99"/>
    <w:rsid w:val="008A1922"/>
  </w:style>
  <w:style w:type="paragraph" w:styleId="Footer">
    <w:name w:val="footer"/>
    <w:basedOn w:val="Normal"/>
    <w:link w:val="FooterChar"/>
    <w:uiPriority w:val="99"/>
    <w:unhideWhenUsed/>
    <w:rsid w:val="008A1922"/>
    <w:pPr>
      <w:tabs>
        <w:tab w:val="center" w:pos="4680"/>
        <w:tab w:val="right" w:pos="9360"/>
      </w:tabs>
    </w:pPr>
  </w:style>
  <w:style w:type="character" w:customStyle="1" w:styleId="FooterChar">
    <w:name w:val="Footer Char"/>
    <w:basedOn w:val="DefaultParagraphFont"/>
    <w:link w:val="Footer"/>
    <w:uiPriority w:val="99"/>
    <w:rsid w:val="008A1922"/>
  </w:style>
  <w:style w:type="paragraph" w:customStyle="1" w:styleId="Box">
    <w:name w:val="Box"/>
    <w:rsid w:val="006840C7"/>
    <w:pPr>
      <w:pBdr>
        <w:top w:val="nil"/>
        <w:left w:val="nil"/>
        <w:bottom w:val="nil"/>
        <w:right w:val="nil"/>
        <w:between w:val="nil"/>
        <w:bar w:val="nil"/>
      </w:pBdr>
      <w:spacing w:before="120" w:after="180" w:line="240" w:lineRule="auto"/>
    </w:pPr>
    <w:rPr>
      <w:rFonts w:ascii="Trebuchet MS" w:eastAsia="Trebuchet MS" w:hAnsi="Trebuchet MS" w:cs="Trebuchet MS"/>
      <w:color w:val="545454"/>
      <w:sz w:val="18"/>
      <w:szCs w:val="18"/>
      <w:u w:color="54545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m.gatech.edu/services/design" TargetMode="External"/><Relationship Id="rId18" Type="http://schemas.openxmlformats.org/officeDocument/2006/relationships/hyperlink" Target="http://www.specialevents.gatech.edu/resources/catering/compan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mm.gatech.edu/services/photo-video" TargetMode="External"/><Relationship Id="rId7" Type="http://schemas.openxmlformats.org/officeDocument/2006/relationships/image" Target="media/image1.png"/><Relationship Id="rId12" Type="http://schemas.openxmlformats.org/officeDocument/2006/relationships/hyperlink" Target="http://www.comm.gatech.edu/services/photo-video" TargetMode="External"/><Relationship Id="rId17" Type="http://schemas.openxmlformats.org/officeDocument/2006/relationships/hyperlink" Target="http://www.specialevents.gatech.edu/resources/vendor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pecialevents.gatech.edu/resources/guide" TargetMode="External"/><Relationship Id="rId20" Type="http://schemas.openxmlformats.org/officeDocument/2006/relationships/hyperlink" Target="http://www.specialevents.gatech.edu/resources/par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gatech.edu/resources/campus-communication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mm.gatech.edu/services/social-media" TargetMode="External"/><Relationship Id="rId23" Type="http://schemas.openxmlformats.org/officeDocument/2006/relationships/hyperlink" Target="http://www.specialevents.gatech.edu/sites/default/files/images/final_event_management_checklist.docx" TargetMode="External"/><Relationship Id="rId10" Type="http://schemas.openxmlformats.org/officeDocument/2006/relationships/image" Target="media/image4.png"/><Relationship Id="rId19" Type="http://schemas.openxmlformats.org/officeDocument/2006/relationships/hyperlink" Target="http://www.sustain.gatech.edu/sites/default/files/documents/Work_Green/4._greeneventguide_final.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mm.gatech.edu/services/web" TargetMode="External"/><Relationship Id="rId22" Type="http://schemas.openxmlformats.org/officeDocument/2006/relationships/hyperlink" Target="http://www.specialevents.gatech.edu/resources/guide/checklis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Documents\Custom%20Office%20Templates\SLS%20Toolk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SLS Toolkit Template</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 O'Brien</cp:lastModifiedBy>
  <cp:revision>1</cp:revision>
  <dcterms:created xsi:type="dcterms:W3CDTF">2017-11-28T14:44:00Z</dcterms:created>
  <dcterms:modified xsi:type="dcterms:W3CDTF">2017-11-28T14:45:00Z</dcterms:modified>
</cp:coreProperties>
</file>