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2"/>
          <w:szCs w:val="22"/>
        </w:rPr>
      </w:pPr>
      <w:r w:rsidDel="00000000" w:rsidR="00000000" w:rsidRPr="00000000">
        <w:rPr>
          <w:rtl w:val="0"/>
        </w:rPr>
      </w:r>
    </w:p>
    <w:tbl>
      <w:tblPr>
        <w:tblStyle w:val="Table1"/>
        <w:tblW w:w="103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2685"/>
        <w:gridCol w:w="2700"/>
        <w:gridCol w:w="2325"/>
        <w:tblGridChange w:id="0">
          <w:tblGrid>
            <w:gridCol w:w="2685"/>
            <w:gridCol w:w="2685"/>
            <w:gridCol w:w="2700"/>
            <w:gridCol w:w="2325"/>
          </w:tblGrid>
        </w:tblGridChange>
      </w:tblGrid>
      <w:tr>
        <w:trPr>
          <w:trHeight w:val="166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02">
            <w:pPr>
              <w:spacing w:after="0" w:before="120" w:line="240" w:lineRule="auto"/>
              <w:jc w:val="cente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color w:val="545454"/>
                <w:sz w:val="18"/>
                <w:szCs w:val="18"/>
              </w:rPr>
              <w:drawing>
                <wp:inline distB="0" distT="0" distL="0" distR="0">
                  <wp:extent cx="1129977" cy="945833"/>
                  <wp:effectExtent b="0" l="0" r="0" t="0"/>
                  <wp:docPr descr="C:\Users\bjaco\AppData\Local\Microsoft\Windows\INetCache\Content.Word\SLS-Teaching-Toolkit-Logo_Stacked-Initials.jpg" id="3" name="image1.jpg"/>
                  <a:graphic>
                    <a:graphicData uri="http://schemas.openxmlformats.org/drawingml/2006/picture">
                      <pic:pic>
                        <pic:nvPicPr>
                          <pic:cNvPr descr="C:\Users\bjaco\AppData\Local\Microsoft\Windows\INetCache\Content.Word\SLS-Teaching-Toolkit-Logo_Stacked-Initials.jpg" id="0" name="image1.jpg"/>
                          <pic:cNvPicPr preferRelativeResize="0"/>
                        </pic:nvPicPr>
                        <pic:blipFill>
                          <a:blip r:embed="rId6"/>
                          <a:srcRect b="0" l="0" r="0" t="0"/>
                          <a:stretch>
                            <a:fillRect/>
                          </a:stretch>
                        </pic:blipFill>
                        <pic:spPr>
                          <a:xfrm>
                            <a:off x="0" y="0"/>
                            <a:ext cx="1129977" cy="945833"/>
                          </a:xfrm>
                          <a:prstGeom prst="rect"/>
                          <a:ln/>
                        </pic:spPr>
                      </pic:pic>
                    </a:graphicData>
                  </a:graphic>
                </wp:inline>
              </w:drawing>
            </w:r>
            <w:r w:rsidDel="00000000" w:rsidR="00000000" w:rsidRPr="00000000">
              <w:rPr>
                <w:rtl w:val="0"/>
              </w:rPr>
            </w:r>
          </w:p>
        </w:tc>
        <w:tc>
          <w:tcPr>
            <w:gridSpan w:val="3"/>
            <w:tcBorders>
              <w:top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03">
            <w:pPr>
              <w:widowControl w:val="0"/>
              <w:spacing w:after="0" w:line="240" w:lineRule="auto"/>
              <w:jc w:val="center"/>
              <w:rPr>
                <w:rFonts w:ascii="Georgia" w:cs="Georgia" w:eastAsia="Georgia" w:hAnsi="Georgia"/>
                <w:sz w:val="40"/>
                <w:szCs w:val="40"/>
              </w:rPr>
            </w:pPr>
            <w:r w:rsidDel="00000000" w:rsidR="00000000" w:rsidRPr="00000000">
              <w:rPr>
                <w:rFonts w:ascii="Georgia" w:cs="Georgia" w:eastAsia="Georgia" w:hAnsi="Georgia"/>
                <w:sz w:val="40"/>
                <w:szCs w:val="40"/>
                <w:rtl w:val="0"/>
              </w:rPr>
              <w:t xml:space="preserve">An Introduction to Green Infrastructure</w:t>
            </w:r>
          </w:p>
        </w:tc>
      </w:tr>
      <w:tr>
        <w:trPr>
          <w:trHeight w:val="1340" w:hRule="atLeast"/>
        </w:trPr>
        <w:tc>
          <w:tcPr>
            <w:tcBorders>
              <w:left w:color="000000" w:space="0" w:sz="12" w:val="single"/>
              <w:bottom w:color="000000" w:space="0" w:sz="8"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after="0" w:line="276" w:lineRule="auto"/>
              <w:jc w:val="center"/>
              <w:rPr>
                <w:rFonts w:ascii="Arial" w:cs="Arial" w:eastAsia="Arial" w:hAnsi="Arial"/>
                <w:sz w:val="22"/>
                <w:szCs w:val="22"/>
              </w:rPr>
            </w:pPr>
            <w:r w:rsidDel="00000000" w:rsidR="00000000" w:rsidRPr="00000000">
              <w:rPr>
                <w:rFonts w:ascii="Georgia" w:cs="Georgia" w:eastAsia="Georgia" w:hAnsi="Georgia"/>
                <w:b w:val="1"/>
                <w:rtl w:val="0"/>
              </w:rPr>
              <w:t xml:space="preserve">Discipline:</w:t>
            </w:r>
            <w:r w:rsidDel="00000000" w:rsidR="00000000" w:rsidRPr="00000000">
              <w:rPr>
                <w:rFonts w:ascii="Georgia" w:cs="Georgia" w:eastAsia="Georgia" w:hAnsi="Georgia"/>
                <w:b w:val="1"/>
                <w:sz w:val="22"/>
                <w:szCs w:val="22"/>
                <w:rtl w:val="0"/>
              </w:rPr>
              <w:t xml:space="preserve"> </w:t>
            </w:r>
            <w:r w:rsidDel="00000000" w:rsidR="00000000" w:rsidRPr="00000000">
              <w:rPr>
                <w:rFonts w:ascii="Arial" w:cs="Arial" w:eastAsia="Arial" w:hAnsi="Arial"/>
                <w:sz w:val="22"/>
                <w:szCs w:val="22"/>
                <w:rtl w:val="0"/>
              </w:rPr>
              <w:t xml:space="preserve">All</w:t>
            </w:r>
          </w:p>
        </w:tc>
        <w:tc>
          <w:tcPr>
            <w:tcBorders>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after="0" w:line="276" w:lineRule="auto"/>
              <w:jc w:val="center"/>
              <w:rPr>
                <w:rFonts w:ascii="Arial" w:cs="Arial" w:eastAsia="Arial" w:hAnsi="Arial"/>
                <w:sz w:val="22"/>
                <w:szCs w:val="22"/>
              </w:rPr>
            </w:pPr>
            <w:r w:rsidDel="00000000" w:rsidR="00000000" w:rsidRPr="00000000">
              <w:rPr>
                <w:rFonts w:ascii="Georgia" w:cs="Georgia" w:eastAsia="Georgia" w:hAnsi="Georgia"/>
                <w:b w:val="1"/>
                <w:rtl w:val="0"/>
              </w:rPr>
              <w:t xml:space="preserve">Type:</w:t>
            </w:r>
            <w:r w:rsidDel="00000000" w:rsidR="00000000" w:rsidRPr="00000000">
              <w:rPr>
                <w:rFonts w:ascii="Georgia" w:cs="Georgia" w:eastAsia="Georgia" w:hAnsi="Georgia"/>
                <w:b w:val="1"/>
                <w:sz w:val="22"/>
                <w:szCs w:val="22"/>
                <w:rtl w:val="0"/>
              </w:rPr>
              <w:t xml:space="preserve"> </w:t>
            </w:r>
            <w:r w:rsidDel="00000000" w:rsidR="00000000" w:rsidRPr="00000000">
              <w:rPr>
                <w:rFonts w:ascii="Arial" w:cs="Arial" w:eastAsia="Arial" w:hAnsi="Arial"/>
                <w:sz w:val="22"/>
                <w:szCs w:val="22"/>
                <w:rtl w:val="0"/>
              </w:rPr>
              <w:t xml:space="preserve">Reading Assignment; Take-home assignment; Lecture; In-Class Activity; Discussion</w:t>
            </w:r>
          </w:p>
        </w:tc>
        <w:tc>
          <w:tcPr>
            <w:tcBorders>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spacing w:after="0" w:line="276" w:lineRule="auto"/>
              <w:jc w:val="center"/>
              <w:rPr>
                <w:rFonts w:ascii="Georgia" w:cs="Georgia" w:eastAsia="Georgia" w:hAnsi="Georgia"/>
                <w:b w:val="1"/>
                <w:sz w:val="22"/>
                <w:szCs w:val="22"/>
              </w:rPr>
            </w:pPr>
            <w:r w:rsidDel="00000000" w:rsidR="00000000" w:rsidRPr="00000000">
              <w:rPr>
                <w:rFonts w:ascii="Georgia" w:cs="Georgia" w:eastAsia="Georgia" w:hAnsi="Georgia"/>
                <w:b w:val="1"/>
                <w:rtl w:val="0"/>
              </w:rPr>
              <w:t xml:space="preserve">Time Commitment:</w:t>
            </w:r>
            <w:r w:rsidDel="00000000" w:rsidR="00000000" w:rsidRPr="00000000">
              <w:rPr>
                <w:rtl w:val="0"/>
              </w:rPr>
            </w:r>
          </w:p>
          <w:p w:rsidR="00000000" w:rsidDel="00000000" w:rsidP="00000000" w:rsidRDefault="00000000" w:rsidRPr="00000000" w14:paraId="00000009">
            <w:pPr>
              <w:widowControl w:val="0"/>
              <w:spacing w:after="0"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 hrs</w:t>
            </w:r>
          </w:p>
        </w:tc>
        <w:tc>
          <w:tcPr>
            <w:tcBorders>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spacing w:after="0" w:line="276" w:lineRule="auto"/>
              <w:jc w:val="center"/>
              <w:rPr>
                <w:rFonts w:ascii="Arial" w:cs="Arial" w:eastAsia="Arial" w:hAnsi="Arial"/>
                <w:sz w:val="22"/>
                <w:szCs w:val="22"/>
              </w:rPr>
            </w:pPr>
            <w:r w:rsidDel="00000000" w:rsidR="00000000" w:rsidRPr="00000000">
              <w:rPr>
                <w:rFonts w:ascii="Georgia" w:cs="Georgia" w:eastAsia="Georgia" w:hAnsi="Georgia"/>
                <w:b w:val="1"/>
                <w:rtl w:val="0"/>
              </w:rPr>
              <w:t xml:space="preserve">Category:</w:t>
            </w:r>
            <w:r w:rsidDel="00000000" w:rsidR="00000000" w:rsidRPr="00000000">
              <w:rPr>
                <w:rFonts w:ascii="Arial" w:cs="Arial" w:eastAsia="Arial" w:hAnsi="Arial"/>
                <w:sz w:val="22"/>
                <w:szCs w:val="22"/>
                <w:rtl w:val="0"/>
              </w:rPr>
              <w:t xml:space="preserve"> Green Infrastructure; Equity, Justice &amp; Sustainability </w:t>
            </w:r>
          </w:p>
        </w:tc>
      </w:tr>
      <w:tr>
        <w:trPr>
          <w:trHeight w:val="780" w:hRule="atLeast"/>
        </w:trPr>
        <w:tc>
          <w:tcPr>
            <w:gridSpan w:val="4"/>
            <w:tcBorders>
              <w:left w:color="000000" w:space="0" w:sz="12" w:val="single"/>
              <w:bottom w:color="000000" w:space="0" w:sz="8"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after="120" w:before="120" w:line="276" w:lineRule="auto"/>
              <w:rPr>
                <w:rFonts w:ascii="Arial" w:cs="Arial" w:eastAsia="Arial" w:hAnsi="Arial"/>
                <w:color w:val="1155cc"/>
                <w:sz w:val="22"/>
                <w:szCs w:val="22"/>
                <w:u w:val="single"/>
              </w:rPr>
            </w:pPr>
            <w:r w:rsidDel="00000000" w:rsidR="00000000" w:rsidRPr="00000000">
              <w:rPr>
                <w:rFonts w:ascii="Georgia" w:cs="Georgia" w:eastAsia="Georgia" w:hAnsi="Georgia"/>
                <w:b w:val="1"/>
                <w:rtl w:val="0"/>
              </w:rPr>
              <w:t xml:space="preserve">Big Ideas:</w:t>
            </w:r>
            <w:hyperlink r:id="rId7">
              <w:r w:rsidDel="00000000" w:rsidR="00000000" w:rsidRPr="00000000">
                <w:rPr>
                  <w:rFonts w:ascii="Georgia" w:cs="Georgia" w:eastAsia="Georgia" w:hAnsi="Georgia"/>
                  <w:b w:val="1"/>
                  <w:rtl w:val="0"/>
                </w:rPr>
                <w:t xml:space="preserve"> </w:t>
              </w:r>
            </w:hyperlink>
            <w:hyperlink r:id="rId8">
              <w:r w:rsidDel="00000000" w:rsidR="00000000" w:rsidRPr="00000000">
                <w:rPr>
                  <w:rFonts w:ascii="Arial" w:cs="Arial" w:eastAsia="Arial" w:hAnsi="Arial"/>
                  <w:color w:val="1155cc"/>
                  <w:sz w:val="22"/>
                  <w:szCs w:val="22"/>
                  <w:u w:val="single"/>
                  <w:rtl w:val="0"/>
                </w:rPr>
                <w:t xml:space="preserve">Sustainable Urban Development</w:t>
              </w:r>
            </w:hyperlink>
            <w:r w:rsidDel="00000000" w:rsidR="00000000" w:rsidRPr="00000000">
              <w:rPr>
                <w:rFonts w:ascii="Arial" w:cs="Arial" w:eastAsia="Arial" w:hAnsi="Arial"/>
                <w:sz w:val="22"/>
                <w:szCs w:val="22"/>
                <w:rtl w:val="0"/>
              </w:rPr>
              <w:t xml:space="preserve">,</w:t>
            </w:r>
            <w:r w:rsidDel="00000000" w:rsidR="00000000" w:rsidRPr="00000000">
              <w:rPr>
                <w:rtl w:val="0"/>
              </w:rPr>
              <w:t xml:space="preserve"> </w:t>
            </w:r>
            <w:hyperlink r:id="rId9">
              <w:r w:rsidDel="00000000" w:rsidR="00000000" w:rsidRPr="00000000">
                <w:rPr>
                  <w:rFonts w:ascii="Arial" w:cs="Arial" w:eastAsia="Arial" w:hAnsi="Arial"/>
                  <w:color w:val="1155cc"/>
                  <w:sz w:val="22"/>
                  <w:szCs w:val="22"/>
                  <w:u w:val="single"/>
                  <w:rtl w:val="0"/>
                </w:rPr>
                <w:t xml:space="preserve">Infrastructure: Physical, Technological, Social</w:t>
              </w:r>
            </w:hyperlink>
            <w:r w:rsidDel="00000000" w:rsidR="00000000" w:rsidRPr="00000000">
              <w:rPr>
                <w:rFonts w:ascii="Arial" w:cs="Arial" w:eastAsia="Arial" w:hAnsi="Arial"/>
                <w:sz w:val="22"/>
                <w:szCs w:val="22"/>
                <w:rtl w:val="0"/>
              </w:rPr>
              <w:t xml:space="preserve">,;</w:t>
            </w:r>
            <w:hyperlink r:id="rId10">
              <w:r w:rsidDel="00000000" w:rsidR="00000000" w:rsidRPr="00000000">
                <w:rPr>
                  <w:rFonts w:ascii="Arial" w:cs="Arial" w:eastAsia="Arial" w:hAnsi="Arial"/>
                  <w:color w:val="1155cc"/>
                  <w:sz w:val="22"/>
                  <w:szCs w:val="22"/>
                  <w:u w:val="single"/>
                  <w:rtl w:val="0"/>
                </w:rPr>
                <w:t xml:space="preserve">Participatory Processes and Collaborative Governance</w:t>
              </w:r>
            </w:hyperlink>
            <w:r w:rsidDel="00000000" w:rsidR="00000000" w:rsidRPr="00000000">
              <w:rPr>
                <w:rFonts w:ascii="Arial" w:cs="Arial" w:eastAsia="Arial" w:hAnsi="Arial"/>
                <w:sz w:val="22"/>
                <w:szCs w:val="22"/>
                <w:rtl w:val="0"/>
              </w:rPr>
              <w:t xml:space="preserve">,</w:t>
            </w:r>
            <w:r w:rsidDel="00000000" w:rsidR="00000000" w:rsidRPr="00000000">
              <w:rPr>
                <w:rtl w:val="0"/>
              </w:rPr>
              <w:t xml:space="preserve"> </w:t>
            </w:r>
            <w:hyperlink r:id="rId11">
              <w:r w:rsidDel="00000000" w:rsidR="00000000" w:rsidRPr="00000000">
                <w:rPr>
                  <w:rFonts w:ascii="Arial" w:cs="Arial" w:eastAsia="Arial" w:hAnsi="Arial"/>
                  <w:color w:val="0000ff"/>
                  <w:sz w:val="22"/>
                  <w:szCs w:val="22"/>
                  <w:u w:val="single"/>
                  <w:rtl w:val="0"/>
                </w:rPr>
                <w:t xml:space="preserve">Voice &amp; Agency</w:t>
              </w:r>
            </w:hyperlink>
            <w:r w:rsidDel="00000000" w:rsidR="00000000" w:rsidRPr="00000000">
              <w:rPr>
                <w:rFonts w:ascii="Arial" w:cs="Arial" w:eastAsia="Arial" w:hAnsi="Arial"/>
                <w:sz w:val="22"/>
                <w:szCs w:val="22"/>
                <w:rtl w:val="0"/>
              </w:rPr>
              <w:t xml:space="preserve">; </w:t>
            </w:r>
            <w:hyperlink r:id="rId12">
              <w:r w:rsidDel="00000000" w:rsidR="00000000" w:rsidRPr="00000000">
                <w:rPr>
                  <w:rFonts w:ascii="Arial" w:cs="Arial" w:eastAsia="Arial" w:hAnsi="Arial"/>
                  <w:color w:val="0000ff"/>
                  <w:sz w:val="22"/>
                  <w:szCs w:val="22"/>
                  <w:u w:val="single"/>
                  <w:rtl w:val="0"/>
                </w:rPr>
                <w:t xml:space="preserve">Systems Thinking</w:t>
              </w:r>
            </w:hyperlink>
            <w:r w:rsidDel="00000000" w:rsidR="00000000" w:rsidRPr="00000000">
              <w:rPr>
                <w:rFonts w:ascii="Arial" w:cs="Arial" w:eastAsia="Arial" w:hAnsi="Arial"/>
                <w:sz w:val="22"/>
                <w:szCs w:val="22"/>
                <w:rtl w:val="0"/>
              </w:rPr>
              <w:t xml:space="preserve">;</w:t>
            </w:r>
            <w:hyperlink r:id="rId13">
              <w:r w:rsidDel="00000000" w:rsidR="00000000" w:rsidRPr="00000000">
                <w:rPr>
                  <w:rFonts w:ascii="Arial" w:cs="Arial" w:eastAsia="Arial" w:hAnsi="Arial"/>
                  <w:sz w:val="22"/>
                  <w:szCs w:val="22"/>
                  <w:rtl w:val="0"/>
                </w:rPr>
                <w:t xml:space="preserve"> </w:t>
              </w:r>
            </w:hyperlink>
            <w:hyperlink r:id="rId14">
              <w:r w:rsidDel="00000000" w:rsidR="00000000" w:rsidRPr="00000000">
                <w:rPr>
                  <w:rFonts w:ascii="Arial" w:cs="Arial" w:eastAsia="Arial" w:hAnsi="Arial"/>
                  <w:color w:val="0000ff"/>
                  <w:sz w:val="22"/>
                  <w:szCs w:val="22"/>
                  <w:u w:val="single"/>
                  <w:rtl w:val="0"/>
                </w:rPr>
                <w:t xml:space="preserve">Inequality, Poverty and  Sustainable Development</w:t>
              </w:r>
            </w:hyperlink>
            <w:r w:rsidDel="00000000" w:rsidR="00000000" w:rsidRPr="00000000">
              <w:rPr>
                <w:rtl w:val="0"/>
              </w:rPr>
            </w:r>
          </w:p>
        </w:tc>
      </w:tr>
      <w:tr>
        <w:trPr>
          <w:trHeight w:val="2420" w:hRule="atLeast"/>
        </w:trPr>
        <w:tc>
          <w:tcPr>
            <w:gridSpan w:val="4"/>
            <w:tcBorders>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after="120" w:line="276" w:lineRule="auto"/>
              <w:rPr>
                <w:rFonts w:ascii="Georgia" w:cs="Georgia" w:eastAsia="Georgia" w:hAnsi="Georgia"/>
                <w:b w:val="1"/>
              </w:rPr>
            </w:pPr>
            <w:r w:rsidDel="00000000" w:rsidR="00000000" w:rsidRPr="00000000">
              <w:rPr>
                <w:rFonts w:ascii="Georgia" w:cs="Georgia" w:eastAsia="Georgia" w:hAnsi="Georgia"/>
                <w:b w:val="1"/>
                <w:rtl w:val="0"/>
              </w:rPr>
              <w:t xml:space="preserve">OVERVIEW:</w:t>
            </w:r>
          </w:p>
          <w:p w:rsidR="00000000" w:rsidDel="00000000" w:rsidP="00000000" w:rsidRDefault="00000000" w:rsidRPr="00000000" w14:paraId="00000010">
            <w:pPr>
              <w:widowControl w:val="0"/>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Green infrastructure refers to an interconnected, multifunctional network of greenspace and natural areas that shapes and is shaped by environmental, economic, social, and </w:t>
            </w:r>
            <w:r w:rsidDel="00000000" w:rsidR="00000000" w:rsidRPr="00000000">
              <w:rPr>
                <w:rFonts w:ascii="Arial" w:cs="Arial" w:eastAsia="Arial" w:hAnsi="Arial"/>
                <w:sz w:val="22"/>
                <w:szCs w:val="22"/>
                <w:rtl w:val="0"/>
              </w:rPr>
              <w:t xml:space="preserve">health </w:t>
            </w:r>
            <w:r w:rsidDel="00000000" w:rsidR="00000000" w:rsidRPr="00000000">
              <w:rPr>
                <w:rFonts w:ascii="Arial" w:cs="Arial" w:eastAsia="Arial" w:hAnsi="Arial"/>
                <w:sz w:val="22"/>
                <w:szCs w:val="22"/>
                <w:rtl w:val="0"/>
              </w:rPr>
              <w:t xml:space="preserve">outcomes in communities. It may refer to a wide array of natural features, engineered structures, or managed interconnected networks of green space and their associated ecosystem services, including parks, stormwater management features, greenways and trails, green streets, and watershed restoration projects, among other types of green spaces. </w:t>
            </w:r>
          </w:p>
          <w:p w:rsidR="00000000" w:rsidDel="00000000" w:rsidP="00000000" w:rsidRDefault="00000000" w:rsidRPr="00000000" w14:paraId="00000011">
            <w:pPr>
              <w:widowControl w:val="0"/>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Use this tool to explore green infrastructure and its relationship with environment and health qualities, housing, economic development, and the social fabric of our communities. Students will learn how all of these aspects of green infrastructure interact to shape community empowerment, quality of life, and wellness. The discussion questions will aid students in breaking down the multiple impacts of green infrastructure, the importance of community engagement and leadership in green infrastructure planning processes, and the role of local policies and programs in shaping how green infrastructure impacts communities.</w:t>
            </w:r>
          </w:p>
          <w:p w:rsidR="00000000" w:rsidDel="00000000" w:rsidP="00000000" w:rsidRDefault="00000000" w:rsidRPr="00000000" w14:paraId="00000012">
            <w:pPr>
              <w:widowControl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tool was contributed by Jessica Fisch.</w:t>
            </w:r>
          </w:p>
        </w:tc>
      </w:tr>
      <w:tr>
        <w:trPr>
          <w:trHeight w:val="1080" w:hRule="atLeast"/>
        </w:trPr>
        <w:tc>
          <w:tcPr>
            <w:gridSpan w:val="4"/>
            <w:tcBorders>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120" w:line="276" w:lineRule="auto"/>
              <w:rPr>
                <w:rFonts w:ascii="Georgia" w:cs="Georgia" w:eastAsia="Georgia" w:hAnsi="Georgia"/>
                <w:b w:val="1"/>
              </w:rPr>
            </w:pPr>
            <w:r w:rsidDel="00000000" w:rsidR="00000000" w:rsidRPr="00000000">
              <w:rPr>
                <w:rFonts w:ascii="Georgia" w:cs="Georgia" w:eastAsia="Georgia" w:hAnsi="Georgia"/>
                <w:b w:val="1"/>
                <w:rtl w:val="0"/>
              </w:rPr>
              <w:t xml:space="preserve">INSTRUCTIONS:</w:t>
            </w:r>
          </w:p>
          <w:p w:rsidR="00000000" w:rsidDel="00000000" w:rsidP="00000000" w:rsidRDefault="00000000" w:rsidRPr="00000000" w14:paraId="00000017">
            <w:pPr>
              <w:widowControl w:val="0"/>
              <w:spacing w:after="120" w:line="276" w:lineRule="auto"/>
              <w:rPr>
                <w:rFonts w:ascii="Georgia" w:cs="Georgia" w:eastAsia="Georgia" w:hAnsi="Georgia"/>
                <w:b w:val="1"/>
              </w:rPr>
            </w:pPr>
            <w:r w:rsidDel="00000000" w:rsidR="00000000" w:rsidRPr="00000000">
              <w:rPr>
                <w:rFonts w:ascii="Arial" w:cs="Arial" w:eastAsia="Arial" w:hAnsi="Arial"/>
                <w:sz w:val="22"/>
                <w:szCs w:val="22"/>
                <w:rtl w:val="0"/>
              </w:rPr>
              <w:t xml:space="preserve">This tool has three parts. The first is a reading assignment, followed by a slide lecture, and an in-class discussion. See below for detailed instructions.</w:t>
            </w:r>
            <w:r w:rsidDel="00000000" w:rsidR="00000000" w:rsidRPr="00000000">
              <w:rPr>
                <w:rFonts w:ascii="Georgia" w:cs="Georgia" w:eastAsia="Georgia" w:hAnsi="Georgia"/>
                <w:b w:val="1"/>
                <w:rtl w:val="0"/>
              </w:rPr>
              <w:t xml:space="preserve"> </w:t>
            </w:r>
          </w:p>
        </w:tc>
      </w:tr>
      <w:tr>
        <w:trPr>
          <w:trHeight w:val="2080" w:hRule="atLeast"/>
        </w:trPr>
        <w:tc>
          <w:tcPr>
            <w:gridSpan w:val="4"/>
            <w:tcBorders>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120" w:line="276" w:lineRule="auto"/>
              <w:rPr>
                <w:rFonts w:ascii="Georgia" w:cs="Georgia" w:eastAsia="Georgia" w:hAnsi="Georgia"/>
                <w:b w:val="1"/>
              </w:rPr>
            </w:pPr>
            <w:r w:rsidDel="00000000" w:rsidR="00000000" w:rsidRPr="00000000">
              <w:rPr>
                <w:rFonts w:ascii="Georgia" w:cs="Georgia" w:eastAsia="Georgia" w:hAnsi="Georgia"/>
                <w:b w:val="1"/>
                <w:rtl w:val="0"/>
              </w:rPr>
              <w:t xml:space="preserve">SLS STUDENT LEARNING OUTCOMES &amp; ASSESSMENT:</w:t>
            </w:r>
          </w:p>
          <w:p w:rsidR="00000000" w:rsidDel="00000000" w:rsidP="00000000" w:rsidRDefault="00000000" w:rsidRPr="00000000" w14:paraId="0000001C">
            <w:pPr>
              <w:widowControl w:val="0"/>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w:t>
            </w:r>
            <w:hyperlink r:id="rId15">
              <w:r w:rsidDel="00000000" w:rsidR="00000000" w:rsidRPr="00000000">
                <w:rPr>
                  <w:rFonts w:ascii="Arial" w:cs="Arial" w:eastAsia="Arial" w:hAnsi="Arial"/>
                  <w:sz w:val="22"/>
                  <w:szCs w:val="22"/>
                  <w:rtl w:val="0"/>
                </w:rPr>
                <w:t xml:space="preserve"> </w:t>
              </w:r>
            </w:hyperlink>
            <w:hyperlink r:id="rId16">
              <w:r w:rsidDel="00000000" w:rsidR="00000000" w:rsidRPr="00000000">
                <w:rPr>
                  <w:rFonts w:ascii="Arial" w:cs="Arial" w:eastAsia="Arial" w:hAnsi="Arial"/>
                  <w:color w:val="0000ff"/>
                  <w:sz w:val="22"/>
                  <w:szCs w:val="22"/>
                  <w:u w:val="single"/>
                  <w:rtl w:val="0"/>
                </w:rPr>
                <w:t xml:space="preserve">Assessment Tools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D">
            <w:pPr>
              <w:widowControl w:val="0"/>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tool achieves SLOs 1 and 3. See the end of this tool for further details.</w:t>
            </w:r>
          </w:p>
        </w:tc>
      </w:tr>
    </w:tbl>
    <w:p w:rsidR="00000000" w:rsidDel="00000000" w:rsidP="00000000" w:rsidRDefault="00000000" w:rsidRPr="00000000" w14:paraId="00000021">
      <w:pPr>
        <w:pBdr>
          <w:bottom w:color="000000" w:space="1" w:sz="4" w:val="single"/>
        </w:pBdr>
        <w:rPr>
          <w:rFonts w:ascii="Georgia" w:cs="Georgia" w:eastAsia="Georgia" w:hAnsi="Georgia"/>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171450</wp:posOffset>
                </wp:positionV>
                <wp:extent cx="3862388" cy="762000"/>
                <wp:effectExtent b="0" l="0" r="0" t="0"/>
                <wp:wrapSquare wrapText="bothSides" distB="0" distT="0" distL="114300" distR="114300"/>
                <wp:docPr id="1" name=""/>
                <a:graphic>
                  <a:graphicData uri="http://schemas.microsoft.com/office/word/2010/wordprocessingGroup">
                    <wpg:wgp>
                      <wpg:cNvGrpSpPr/>
                      <wpg:grpSpPr>
                        <a:xfrm>
                          <a:off x="3131438" y="3399000"/>
                          <a:ext cx="3862388" cy="762000"/>
                          <a:chOff x="3131438" y="3399000"/>
                          <a:chExt cx="4429125" cy="762000"/>
                        </a:xfrm>
                      </wpg:grpSpPr>
                      <wpg:grpSp>
                        <wpg:cNvGrpSpPr/>
                        <wpg:grpSpPr>
                          <a:xfrm>
                            <a:off x="3131438" y="3399000"/>
                            <a:ext cx="4429125" cy="762000"/>
                            <a:chOff x="3131438" y="3399000"/>
                            <a:chExt cx="4429125" cy="762000"/>
                          </a:xfrm>
                        </wpg:grpSpPr>
                        <wps:wsp>
                          <wps:cNvSpPr/>
                          <wps:cNvPr id="3" name="Shape 3"/>
                          <wps:spPr>
                            <a:xfrm>
                              <a:off x="3131438" y="3399000"/>
                              <a:ext cx="4429125"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31438" y="3399000"/>
                              <a:ext cx="4429125" cy="762000"/>
                              <a:chOff x="0" y="0"/>
                              <a:chExt cx="3676650" cy="762000"/>
                            </a:xfrm>
                          </wpg:grpSpPr>
                          <wps:wsp>
                            <wps:cNvSpPr/>
                            <wps:cNvPr id="5" name="Shape 5"/>
                            <wps:spPr>
                              <a:xfrm>
                                <a:off x="0" y="0"/>
                                <a:ext cx="36766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676650" cy="762000"/>
                              </a:xfrm>
                              <a:prstGeom prst="chevron">
                                <a:avLst>
                                  <a:gd fmla="val 50000" name="adj"/>
                                </a:avLst>
                              </a:prstGeom>
                              <a:noFill/>
                              <a:ln cap="flat" cmpd="sng" w="28575">
                                <a:solidFill>
                                  <a:srgbClr val="FFC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33394" y="200025"/>
                                <a:ext cx="1276350" cy="333375"/>
                              </a:xfrm>
                              <a:prstGeom prst="rect">
                                <a:avLst/>
                              </a:prstGeom>
                              <a:noFill/>
                              <a:ln>
                                <a:noFill/>
                              </a:ln>
                            </wps:spPr>
                            <wps:txbx>
                              <w:txbxContent>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1"/>
                                      <w:i w:val="0"/>
                                      <w:smallCaps w:val="0"/>
                                      <w:strike w:val="0"/>
                                      <w:color w:val="000000"/>
                                      <w:sz w:val="32"/>
                                      <w:vertAlign w:val="baseline"/>
                                    </w:rPr>
                                    <w:t xml:space="preserve">Want Help? </w:t>
                                  </w:r>
                                  <w:r w:rsidDel="00000000" w:rsidR="00000000" w:rsidRPr="00000000">
                                    <w:rPr>
                                      <w:rFonts w:ascii="Georgia" w:cs="Georgia" w:eastAsia="Georgia" w:hAnsi="Georgia"/>
                                      <w:b w:val="1"/>
                                      <w:i w:val="0"/>
                                      <w:smallCaps w:val="0"/>
                                      <w:strike w:val="0"/>
                                      <w:color w:val="000000"/>
                                      <w:sz w:val="30"/>
                                      <w:vertAlign w:val="baseline"/>
                                    </w:rPr>
                                    <w:br w:type="textWrapping"/>
                                  </w:r>
                                </w:p>
                              </w:txbxContent>
                            </wps:txbx>
                            <wps:bodyPr anchorCtr="0" anchor="t" bIns="45700" lIns="91425" spcFirstLastPara="1" rIns="91425" wrap="square" tIns="45700">
                              <a:noAutofit/>
                            </wps:bodyPr>
                          </wps:wsp>
                          <wps:wsp>
                            <wps:cNvSpPr/>
                            <wps:cNvPr id="8" name="Shape 8"/>
                            <wps:spPr>
                              <a:xfrm>
                                <a:off x="1494379" y="67782"/>
                                <a:ext cx="1881813" cy="624442"/>
                              </a:xfrm>
                              <a:prstGeom prst="rect">
                                <a:avLst/>
                              </a:prstGeom>
                              <a:solidFill>
                                <a:schemeClr val="lt1"/>
                              </a:solidFill>
                              <a:ln>
                                <a:noFill/>
                              </a:ln>
                            </wps:spPr>
                            <wps:txbx>
                              <w:txbxContent>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t xml:space="preserve">Serve-Learn-Sustain is the contact for this tool. You can reach us at </w:t>
                                  </w:r>
                                  <w:r w:rsidDel="00000000" w:rsidR="00000000" w:rsidRPr="00000000">
                                    <w:rPr>
                                      <w:rFonts w:ascii="Arial" w:cs="Arial" w:eastAsia="Arial" w:hAnsi="Arial"/>
                                      <w:b w:val="0"/>
                                      <w:i w:val="0"/>
                                      <w:smallCaps w:val="0"/>
                                      <w:strike w:val="0"/>
                                      <w:color w:val="0000ff"/>
                                      <w:sz w:val="21"/>
                                      <w:u w:val="single"/>
                                      <w:vertAlign w:val="baseline"/>
                                    </w:rPr>
                                    <w:t xml:space="preserve">serve-learn-sustain@gatech.edu</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ff"/>
                                      <w:sz w:val="21"/>
                                      <w:u w:val="single"/>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171450</wp:posOffset>
                </wp:positionV>
                <wp:extent cx="3862388" cy="762000"/>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3862388" cy="762000"/>
                        </a:xfrm>
                        <a:prstGeom prst="rect"/>
                        <a:ln/>
                      </pic:spPr>
                    </pic:pic>
                  </a:graphicData>
                </a:graphic>
              </wp:anchor>
            </w:drawing>
          </mc:Fallback>
        </mc:AlternateContent>
      </w:r>
    </w:p>
    <w:p w:rsidR="00000000" w:rsidDel="00000000" w:rsidP="00000000" w:rsidRDefault="00000000" w:rsidRPr="00000000" w14:paraId="00000022">
      <w:pPr>
        <w:pBdr>
          <w:bottom w:color="000000" w:space="1" w:sz="4" w:val="single"/>
        </w:pBd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23">
      <w:pPr>
        <w:pBdr>
          <w:bottom w:color="000000" w:space="1" w:sz="4" w:val="single"/>
        </w:pBd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24">
      <w:pPr>
        <w:rPr>
          <w:rFonts w:ascii="Georgia" w:cs="Georgia" w:eastAsia="Georgia" w:hAnsi="Georgia"/>
          <w:b w:val="1"/>
          <w:sz w:val="32"/>
          <w:szCs w:val="32"/>
        </w:rPr>
      </w:pPr>
      <w:bookmarkStart w:colFirst="0" w:colLast="0" w:name="_30j0zll" w:id="1"/>
      <w:bookmarkEnd w:id="1"/>
      <w:r w:rsidDel="00000000" w:rsidR="00000000" w:rsidRPr="00000000">
        <w:rPr>
          <w:rtl w:val="0"/>
        </w:rPr>
      </w:r>
    </w:p>
    <w:p w:rsidR="00000000" w:rsidDel="00000000" w:rsidP="00000000" w:rsidRDefault="00000000" w:rsidRPr="00000000" w14:paraId="00000025">
      <w:pPr>
        <w:rPr>
          <w:rFonts w:ascii="Georgia" w:cs="Georgia" w:eastAsia="Georgia" w:hAnsi="Georgia"/>
          <w:b w:val="1"/>
          <w:sz w:val="32"/>
          <w:szCs w:val="32"/>
        </w:rPr>
      </w:pPr>
      <w:bookmarkStart w:colFirst="0" w:colLast="0" w:name="_dnkrytgwvisw" w:id="2"/>
      <w:bookmarkEnd w:id="2"/>
      <w:r w:rsidDel="00000000" w:rsidR="00000000" w:rsidRPr="00000000">
        <w:rPr>
          <w:rtl w:val="0"/>
        </w:rPr>
      </w:r>
    </w:p>
    <w:p w:rsidR="00000000" w:rsidDel="00000000" w:rsidP="00000000" w:rsidRDefault="00000000" w:rsidRPr="00000000" w14:paraId="00000026">
      <w:pPr>
        <w:rPr>
          <w:rFonts w:ascii="Georgia" w:cs="Georgia" w:eastAsia="Georgia" w:hAnsi="Georgia"/>
          <w:b w:val="1"/>
          <w:sz w:val="32"/>
          <w:szCs w:val="32"/>
        </w:rPr>
      </w:pPr>
      <w:bookmarkStart w:colFirst="0" w:colLast="0" w:name="_7uot6tqrhhy8" w:id="3"/>
      <w:bookmarkEnd w:id="3"/>
      <w:r w:rsidDel="00000000" w:rsidR="00000000" w:rsidRPr="00000000">
        <w:rPr>
          <w:rtl w:val="0"/>
        </w:rPr>
      </w:r>
    </w:p>
    <w:p w:rsidR="00000000" w:rsidDel="00000000" w:rsidP="00000000" w:rsidRDefault="00000000" w:rsidRPr="00000000" w14:paraId="00000027">
      <w:pPr>
        <w:rPr>
          <w:rFonts w:ascii="Georgia" w:cs="Georgia" w:eastAsia="Georgia" w:hAnsi="Georgia"/>
          <w:b w:val="1"/>
          <w:sz w:val="32"/>
          <w:szCs w:val="32"/>
        </w:rPr>
      </w:pPr>
      <w:bookmarkStart w:colFirst="0" w:colLast="0" w:name="_l6094liuctz3" w:id="4"/>
      <w:bookmarkEnd w:id="4"/>
      <w:r w:rsidDel="00000000" w:rsidR="00000000" w:rsidRPr="00000000">
        <w:rPr>
          <w:rtl w:val="0"/>
        </w:rPr>
      </w:r>
    </w:p>
    <w:p w:rsidR="00000000" w:rsidDel="00000000" w:rsidP="00000000" w:rsidRDefault="00000000" w:rsidRPr="00000000" w14:paraId="00000028">
      <w:pPr>
        <w:rPr>
          <w:rFonts w:ascii="Georgia" w:cs="Georgia" w:eastAsia="Georgia" w:hAnsi="Georgia"/>
          <w:b w:val="1"/>
          <w:sz w:val="32"/>
          <w:szCs w:val="32"/>
        </w:rPr>
      </w:pPr>
      <w:bookmarkStart w:colFirst="0" w:colLast="0" w:name="_f25h38xkg9h5" w:id="5"/>
      <w:bookmarkEnd w:id="5"/>
      <w:r w:rsidDel="00000000" w:rsidR="00000000" w:rsidRPr="00000000">
        <w:rPr>
          <w:rtl w:val="0"/>
        </w:rPr>
      </w:r>
    </w:p>
    <w:p w:rsidR="00000000" w:rsidDel="00000000" w:rsidP="00000000" w:rsidRDefault="00000000" w:rsidRPr="00000000" w14:paraId="00000029">
      <w:pPr>
        <w:rPr>
          <w:rFonts w:ascii="Georgia" w:cs="Georgia" w:eastAsia="Georgia" w:hAnsi="Georgia"/>
          <w:b w:val="1"/>
          <w:sz w:val="32"/>
          <w:szCs w:val="32"/>
        </w:rPr>
      </w:pPr>
      <w:bookmarkStart w:colFirst="0" w:colLast="0" w:name="_evugy8n394pu" w:id="6"/>
      <w:bookmarkEnd w:id="6"/>
      <w:r w:rsidDel="00000000" w:rsidR="00000000" w:rsidRPr="00000000">
        <w:rPr>
          <w:rtl w:val="0"/>
        </w:rPr>
      </w:r>
    </w:p>
    <w:p w:rsidR="00000000" w:rsidDel="00000000" w:rsidP="00000000" w:rsidRDefault="00000000" w:rsidRPr="00000000" w14:paraId="0000002A">
      <w:pPr>
        <w:rPr>
          <w:rFonts w:ascii="Georgia" w:cs="Georgia" w:eastAsia="Georgia" w:hAnsi="Georgia"/>
          <w:b w:val="1"/>
          <w:sz w:val="32"/>
          <w:szCs w:val="32"/>
        </w:rPr>
      </w:pPr>
      <w:bookmarkStart w:colFirst="0" w:colLast="0" w:name="_v6ksffqma0x7" w:id="7"/>
      <w:bookmarkEnd w:id="7"/>
      <w:r w:rsidDel="00000000" w:rsidR="00000000" w:rsidRPr="00000000">
        <w:rPr>
          <w:rtl w:val="0"/>
        </w:rPr>
      </w:r>
    </w:p>
    <w:p w:rsidR="00000000" w:rsidDel="00000000" w:rsidP="00000000" w:rsidRDefault="00000000" w:rsidRPr="00000000" w14:paraId="0000002B">
      <w:pPr>
        <w:rPr>
          <w:rFonts w:ascii="Georgia" w:cs="Georgia" w:eastAsia="Georgia" w:hAnsi="Georgia"/>
          <w:b w:val="1"/>
          <w:sz w:val="32"/>
          <w:szCs w:val="32"/>
        </w:rPr>
      </w:pPr>
      <w:bookmarkStart w:colFirst="0" w:colLast="0" w:name="_xwai2f498pbj" w:id="8"/>
      <w:bookmarkEnd w:id="8"/>
      <w:r w:rsidDel="00000000" w:rsidR="00000000" w:rsidRPr="00000000">
        <w:rPr>
          <w:rtl w:val="0"/>
        </w:rPr>
      </w:r>
    </w:p>
    <w:p w:rsidR="00000000" w:rsidDel="00000000" w:rsidP="00000000" w:rsidRDefault="00000000" w:rsidRPr="00000000" w14:paraId="0000002C">
      <w:pPr>
        <w:rPr>
          <w:rFonts w:ascii="Georgia" w:cs="Georgia" w:eastAsia="Georgia" w:hAnsi="Georgia"/>
          <w:b w:val="1"/>
          <w:sz w:val="32"/>
          <w:szCs w:val="32"/>
        </w:rPr>
      </w:pPr>
      <w:bookmarkStart w:colFirst="0" w:colLast="0" w:name="_kn5bon5x1kcs" w:id="9"/>
      <w:bookmarkEnd w:id="9"/>
      <w:r w:rsidDel="00000000" w:rsidR="00000000" w:rsidRPr="00000000">
        <w:rPr>
          <w:rtl w:val="0"/>
        </w:rPr>
      </w:r>
    </w:p>
    <w:p w:rsidR="00000000" w:rsidDel="00000000" w:rsidP="00000000" w:rsidRDefault="00000000" w:rsidRPr="00000000" w14:paraId="0000002D">
      <w:pPr>
        <w:rPr>
          <w:rFonts w:ascii="Georgia" w:cs="Georgia" w:eastAsia="Georgia" w:hAnsi="Georgia"/>
          <w:b w:val="1"/>
          <w:sz w:val="32"/>
          <w:szCs w:val="32"/>
        </w:rPr>
      </w:pPr>
      <w:bookmarkStart w:colFirst="0" w:colLast="0" w:name="_swbk2ac18gca" w:id="10"/>
      <w:bookmarkEnd w:id="10"/>
      <w:r w:rsidDel="00000000" w:rsidR="00000000" w:rsidRPr="00000000">
        <w:rPr>
          <w:rtl w:val="0"/>
        </w:rPr>
      </w:r>
    </w:p>
    <w:p w:rsidR="00000000" w:rsidDel="00000000" w:rsidP="00000000" w:rsidRDefault="00000000" w:rsidRPr="00000000" w14:paraId="0000002E">
      <w:pPr>
        <w:rPr>
          <w:rFonts w:ascii="Georgia" w:cs="Georgia" w:eastAsia="Georgia" w:hAnsi="Georgia"/>
          <w:b w:val="1"/>
          <w:sz w:val="32"/>
          <w:szCs w:val="32"/>
        </w:rPr>
      </w:pPr>
      <w:bookmarkStart w:colFirst="0" w:colLast="0" w:name="_7gajt7thvt84" w:id="11"/>
      <w:bookmarkEnd w:id="11"/>
      <w:r w:rsidDel="00000000" w:rsidR="00000000" w:rsidRPr="00000000">
        <w:rPr>
          <w:rtl w:val="0"/>
        </w:rPr>
      </w:r>
    </w:p>
    <w:p w:rsidR="00000000" w:rsidDel="00000000" w:rsidP="00000000" w:rsidRDefault="00000000" w:rsidRPr="00000000" w14:paraId="0000002F">
      <w:pPr>
        <w:rPr>
          <w:rFonts w:ascii="Georgia" w:cs="Georgia" w:eastAsia="Georgia" w:hAnsi="Georgia"/>
          <w:b w:val="1"/>
          <w:sz w:val="32"/>
          <w:szCs w:val="32"/>
        </w:rPr>
      </w:pPr>
      <w:bookmarkStart w:colFirst="0" w:colLast="0" w:name="_d0nc00lwtr8n" w:id="12"/>
      <w:bookmarkEnd w:id="12"/>
      <w:r w:rsidDel="00000000" w:rsidR="00000000" w:rsidRPr="00000000">
        <w:rPr>
          <w:rtl w:val="0"/>
        </w:rPr>
      </w:r>
    </w:p>
    <w:p w:rsidR="00000000" w:rsidDel="00000000" w:rsidP="00000000" w:rsidRDefault="00000000" w:rsidRPr="00000000" w14:paraId="00000030">
      <w:pPr>
        <w:rPr>
          <w:rFonts w:ascii="Georgia" w:cs="Georgia" w:eastAsia="Georgia" w:hAnsi="Georgia"/>
          <w:b w:val="1"/>
          <w:sz w:val="32"/>
          <w:szCs w:val="32"/>
        </w:rPr>
      </w:pPr>
      <w:bookmarkStart w:colFirst="0" w:colLast="0" w:name="_rbhlhueyctzm" w:id="13"/>
      <w:bookmarkEnd w:id="13"/>
      <w:r w:rsidDel="00000000" w:rsidR="00000000" w:rsidRPr="00000000">
        <w:rPr>
          <w:rtl w:val="0"/>
        </w:rPr>
      </w:r>
    </w:p>
    <w:p w:rsidR="00000000" w:rsidDel="00000000" w:rsidP="00000000" w:rsidRDefault="00000000" w:rsidRPr="00000000" w14:paraId="00000031">
      <w:pP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Worksheet 1: Green Infrastructure Key Concepts</w:t>
      </w:r>
    </w:p>
    <w:p w:rsidR="00000000" w:rsidDel="00000000" w:rsidP="00000000" w:rsidRDefault="00000000" w:rsidRPr="00000000" w14:paraId="00000032">
      <w:pPr>
        <w:spacing w:after="200" w:lineRule="auto"/>
        <w:rPr/>
      </w:pPr>
      <w:r w:rsidDel="00000000" w:rsidR="00000000" w:rsidRPr="00000000">
        <w:rPr>
          <w:rtl w:val="0"/>
        </w:rPr>
        <w:t xml:space="preserve">In the coming weeks, consider how the issues we’re discussing connect to you. You are many things: a citizen, a human being, and a future professional in your discipline. In all of those capacities, you have a responsibility to think about the impacts of your choices on society, culture, the economy, and the environment. Let the key concepts below guide your thinking and learning as we move forward. </w:t>
      </w:r>
    </w:p>
    <w:tbl>
      <w:tblPr>
        <w:tblStyle w:val="Table2"/>
        <w:tblW w:w="996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50"/>
        <w:gridCol w:w="2805"/>
        <w:gridCol w:w="6705"/>
        <w:tblGridChange w:id="0">
          <w:tblGrid>
            <w:gridCol w:w="450"/>
            <w:gridCol w:w="2805"/>
            <w:gridCol w:w="6705"/>
          </w:tblGrid>
        </w:tblGridChange>
      </w:tblGrid>
      <w:tr>
        <w:trPr>
          <w:trHeight w:val="4020" w:hRule="atLeast"/>
        </w:trPr>
        <w:tc>
          <w:tcPr>
            <w:tcMar>
              <w:top w:w="100.0" w:type="dxa"/>
              <w:left w:w="100.0" w:type="dxa"/>
              <w:bottom w:w="100.0" w:type="dxa"/>
              <w:right w:w="100.0" w:type="dxa"/>
            </w:tcMar>
          </w:tcPr>
          <w:p w:rsidR="00000000" w:rsidDel="00000000" w:rsidP="00000000" w:rsidRDefault="00000000" w:rsidRPr="00000000" w14:paraId="00000033">
            <w:pPr>
              <w:rPr>
                <w:i w:val="1"/>
              </w:rPr>
            </w:pPr>
            <w:r w:rsidDel="00000000" w:rsidR="00000000" w:rsidRPr="00000000">
              <w:rPr>
                <w:i w:val="1"/>
                <w:rtl w:val="0"/>
              </w:rPr>
              <w:t xml:space="preserve">#1</w:t>
            </w:r>
          </w:p>
        </w:tc>
        <w:tc>
          <w:tcPr>
            <w:tcMar>
              <w:top w:w="100.0" w:type="dxa"/>
              <w:left w:w="100.0" w:type="dxa"/>
              <w:bottom w:w="100.0" w:type="dxa"/>
              <w:right w:w="100.0" w:type="dxa"/>
            </w:tcMar>
          </w:tcPr>
          <w:p w:rsidR="00000000" w:rsidDel="00000000" w:rsidP="00000000" w:rsidRDefault="00000000" w:rsidRPr="00000000" w14:paraId="00000034">
            <w:pPr>
              <w:rPr>
                <w:i w:val="1"/>
                <w:highlight w:val="yellow"/>
              </w:rPr>
            </w:pPr>
            <w:r w:rsidDel="00000000" w:rsidR="00000000" w:rsidRPr="00000000">
              <w:rPr>
                <w:i w:val="1"/>
                <w:rtl w:val="0"/>
              </w:rPr>
              <w:t xml:space="preserve">Green infrastructure and its spatial distribution in communities has environmental, economic, and social impacts. These impacts drive government agencies, nonprofits, community groups, and others to invest in green infrastructure.</w:t>
            </w: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rPr>
                <w:sz w:val="19"/>
                <w:szCs w:val="19"/>
              </w:rPr>
            </w:pPr>
            <w:r w:rsidDel="00000000" w:rsidR="00000000" w:rsidRPr="00000000">
              <w:rPr>
                <w:sz w:val="19"/>
                <w:szCs w:val="19"/>
                <w:rtl w:val="0"/>
              </w:rPr>
              <w:t xml:space="preserve">Green infrastructure is an interconnected, multifunctional network of greenspace and natural areas that shapes communities’ environmental, economic, social, and health qualities. Local governments, nonprofit organizations, neighborhood groups, and other actors may invest in green infrastructure to respond to environmental quality/ justice concerns (e.g., climate change adaptation, stormwater management), to promote local economic development (e.g., attracting workers and businesses, creating jobs and workforce development opportunities), and to address social goals (e.g., access to parks, nature, and recreation opportunities, cultural and educational opportunities). The distribution of green infrastructure projects throughout communities shapes environmental, economic, and social outcomes. For example, wealthy neighborhoods may have more resources to invest in green infrastructure, and may thus be more likely to receive its environmental, economic, and social benefits.</w:t>
            </w:r>
            <w:r w:rsidDel="00000000" w:rsidR="00000000" w:rsidRPr="00000000">
              <w:rPr>
                <w:rtl w:val="0"/>
              </w:rPr>
            </w:r>
          </w:p>
        </w:tc>
      </w:tr>
      <w:tr>
        <w:trPr>
          <w:trHeight w:val="3400" w:hRule="atLeast"/>
        </w:trPr>
        <w:tc>
          <w:tcPr>
            <w:shd w:fill="b8cce4" w:val="clear"/>
            <w:tcMar>
              <w:top w:w="100.0" w:type="dxa"/>
              <w:left w:w="100.0" w:type="dxa"/>
              <w:bottom w:w="100.0" w:type="dxa"/>
              <w:right w:w="100.0" w:type="dxa"/>
            </w:tcMar>
          </w:tcPr>
          <w:p w:rsidR="00000000" w:rsidDel="00000000" w:rsidP="00000000" w:rsidRDefault="00000000" w:rsidRPr="00000000" w14:paraId="00000037">
            <w:pPr>
              <w:rPr>
                <w:i w:val="1"/>
              </w:rPr>
            </w:pPr>
            <w:r w:rsidDel="00000000" w:rsidR="00000000" w:rsidRPr="00000000">
              <w:rPr>
                <w:i w:val="1"/>
                <w:rtl w:val="0"/>
              </w:rPr>
              <w:t xml:space="preserve">#2</w:t>
            </w:r>
          </w:p>
        </w:tc>
        <w:tc>
          <w:tcPr>
            <w:shd w:fill="b8cce4" w:val="clear"/>
            <w:tcMar>
              <w:top w:w="100.0" w:type="dxa"/>
              <w:left w:w="100.0" w:type="dxa"/>
              <w:bottom w:w="100.0" w:type="dxa"/>
              <w:right w:w="100.0" w:type="dxa"/>
            </w:tcMar>
          </w:tcPr>
          <w:p w:rsidR="00000000" w:rsidDel="00000000" w:rsidP="00000000" w:rsidRDefault="00000000" w:rsidRPr="00000000" w14:paraId="00000038">
            <w:pPr>
              <w:rPr>
                <w:i w:val="1"/>
              </w:rPr>
            </w:pPr>
            <w:r w:rsidDel="00000000" w:rsidR="00000000" w:rsidRPr="00000000">
              <w:rPr>
                <w:i w:val="1"/>
                <w:rtl w:val="0"/>
              </w:rPr>
              <w:t xml:space="preserve">By improving environment and health qualities, green infrastructure may drive gentrification and displacement in vulnerable communities. </w:t>
            </w:r>
          </w:p>
        </w:tc>
        <w:tc>
          <w:tcPr>
            <w:shd w:fill="b8cce4" w:val="clear"/>
            <w:tcMar>
              <w:top w:w="100.0" w:type="dxa"/>
              <w:left w:w="100.0" w:type="dxa"/>
              <w:bottom w:w="100.0" w:type="dxa"/>
              <w:right w:w="100.0" w:type="dxa"/>
            </w:tcMar>
          </w:tcPr>
          <w:p w:rsidR="00000000" w:rsidDel="00000000" w:rsidP="00000000" w:rsidRDefault="00000000" w:rsidRPr="00000000" w14:paraId="00000039">
            <w:pPr>
              <w:rPr>
                <w:sz w:val="19"/>
                <w:szCs w:val="19"/>
              </w:rPr>
            </w:pPr>
            <w:r w:rsidDel="00000000" w:rsidR="00000000" w:rsidRPr="00000000">
              <w:rPr>
                <w:sz w:val="19"/>
                <w:szCs w:val="19"/>
                <w:rtl w:val="0"/>
              </w:rPr>
              <w:t xml:space="preserve">With regard to social and economic impacts, gentrification and displacement are often of particular concerns with the development of green infrastructure amenities, particularly in low-income communities of color. Displacement may include: </w:t>
            </w:r>
          </w:p>
          <w:p w:rsidR="00000000" w:rsidDel="00000000" w:rsidP="00000000" w:rsidRDefault="00000000" w:rsidRPr="00000000" w14:paraId="0000003A">
            <w:pPr>
              <w:numPr>
                <w:ilvl w:val="0"/>
                <w:numId w:val="2"/>
              </w:numPr>
              <w:spacing w:after="0" w:afterAutospacing="0"/>
              <w:ind w:left="720" w:hanging="360"/>
              <w:rPr>
                <w:sz w:val="19"/>
                <w:szCs w:val="19"/>
              </w:rPr>
            </w:pPr>
            <w:r w:rsidDel="00000000" w:rsidR="00000000" w:rsidRPr="00000000">
              <w:rPr>
                <w:sz w:val="19"/>
                <w:szCs w:val="19"/>
                <w:rtl w:val="0"/>
              </w:rPr>
              <w:t xml:space="preserve">Direct displacement of residents due to increases in housing costs;</w:t>
            </w:r>
          </w:p>
          <w:p w:rsidR="00000000" w:rsidDel="00000000" w:rsidP="00000000" w:rsidRDefault="00000000" w:rsidRPr="00000000" w14:paraId="0000003B">
            <w:pPr>
              <w:numPr>
                <w:ilvl w:val="0"/>
                <w:numId w:val="2"/>
              </w:numPr>
              <w:spacing w:after="0" w:afterAutospacing="0"/>
              <w:ind w:left="720" w:hanging="360"/>
              <w:rPr>
                <w:sz w:val="19"/>
                <w:szCs w:val="19"/>
              </w:rPr>
            </w:pPr>
            <w:r w:rsidDel="00000000" w:rsidR="00000000" w:rsidRPr="00000000">
              <w:rPr>
                <w:sz w:val="19"/>
                <w:szCs w:val="19"/>
                <w:rtl w:val="0"/>
              </w:rPr>
              <w:t xml:space="preserve">Indirect displacement, in which low-income residents cannot afford to move into the area;</w:t>
            </w:r>
          </w:p>
          <w:p w:rsidR="00000000" w:rsidDel="00000000" w:rsidP="00000000" w:rsidRDefault="00000000" w:rsidRPr="00000000" w14:paraId="0000003C">
            <w:pPr>
              <w:numPr>
                <w:ilvl w:val="0"/>
                <w:numId w:val="2"/>
              </w:numPr>
              <w:spacing w:after="0" w:afterAutospacing="0"/>
              <w:ind w:left="720" w:hanging="360"/>
              <w:rPr>
                <w:sz w:val="19"/>
                <w:szCs w:val="19"/>
              </w:rPr>
            </w:pPr>
            <w:r w:rsidDel="00000000" w:rsidR="00000000" w:rsidRPr="00000000">
              <w:rPr>
                <w:sz w:val="19"/>
                <w:szCs w:val="19"/>
                <w:rtl w:val="0"/>
              </w:rPr>
              <w:t xml:space="preserve">Cultural displacement, or the loss of community culture and institutions due to population shifts within a neighborhood, and</w:t>
            </w:r>
          </w:p>
          <w:p w:rsidR="00000000" w:rsidDel="00000000" w:rsidP="00000000" w:rsidRDefault="00000000" w:rsidRPr="00000000" w14:paraId="0000003D">
            <w:pPr>
              <w:numPr>
                <w:ilvl w:val="0"/>
                <w:numId w:val="2"/>
              </w:numPr>
              <w:ind w:left="720" w:hanging="360"/>
              <w:rPr>
                <w:sz w:val="19"/>
                <w:szCs w:val="19"/>
              </w:rPr>
            </w:pPr>
            <w:r w:rsidDel="00000000" w:rsidR="00000000" w:rsidRPr="00000000">
              <w:rPr>
                <w:sz w:val="19"/>
                <w:szCs w:val="19"/>
                <w:rtl w:val="0"/>
              </w:rPr>
              <w:t xml:space="preserve">Political displacement, in which residents may feel that they have the ability to participate in and shape neighborhood change.</w:t>
            </w:r>
          </w:p>
        </w:tc>
      </w:tr>
      <w:tr>
        <w:trPr>
          <w:trHeight w:val="1640" w:hRule="atLeast"/>
        </w:trPr>
        <w:tc>
          <w:tcPr>
            <w:shd w:fill="auto" w:val="clear"/>
            <w:tcMar>
              <w:top w:w="100.0" w:type="dxa"/>
              <w:left w:w="100.0" w:type="dxa"/>
              <w:bottom w:w="100.0" w:type="dxa"/>
              <w:right w:w="100.0" w:type="dxa"/>
            </w:tcMar>
          </w:tcPr>
          <w:p w:rsidR="00000000" w:rsidDel="00000000" w:rsidP="00000000" w:rsidRDefault="00000000" w:rsidRPr="00000000" w14:paraId="0000003E">
            <w:pPr>
              <w:rPr>
                <w:i w:val="1"/>
              </w:rPr>
            </w:pPr>
            <w:r w:rsidDel="00000000" w:rsidR="00000000" w:rsidRPr="00000000">
              <w:rPr>
                <w:i w:val="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3F">
            <w:pPr>
              <w:rPr>
                <w:i w:val="1"/>
              </w:rPr>
            </w:pPr>
            <w:r w:rsidDel="00000000" w:rsidR="00000000" w:rsidRPr="00000000">
              <w:rPr>
                <w:i w:val="1"/>
                <w:rtl w:val="0"/>
              </w:rPr>
              <w:t xml:space="preserve">Green infrastructure can support the development of community social capital, which in turn shapes how projects impact communities.</w:t>
            </w:r>
          </w:p>
        </w:tc>
        <w:tc>
          <w:tcPr>
            <w:shd w:fill="auto" w:val="clear"/>
            <w:tcMar>
              <w:top w:w="100.0" w:type="dxa"/>
              <w:left w:w="100.0" w:type="dxa"/>
              <w:bottom w:w="100.0" w:type="dxa"/>
              <w:right w:w="100.0" w:type="dxa"/>
            </w:tcMar>
          </w:tcPr>
          <w:p w:rsidR="00000000" w:rsidDel="00000000" w:rsidP="00000000" w:rsidRDefault="00000000" w:rsidRPr="00000000" w14:paraId="00000040">
            <w:pPr>
              <w:rPr>
                <w:sz w:val="19"/>
                <w:szCs w:val="19"/>
              </w:rPr>
            </w:pPr>
            <w:r w:rsidDel="00000000" w:rsidR="00000000" w:rsidRPr="00000000">
              <w:rPr>
                <w:sz w:val="19"/>
                <w:szCs w:val="19"/>
                <w:rtl w:val="0"/>
              </w:rPr>
              <w:t xml:space="preserve">In addition to shaping environmental and economic outcomes, green infrastructure can also support the community engagement and leadership as stakeholders come together to promote the benefits of green infrastructure while reducing threats of gentrification and displacement. </w:t>
            </w:r>
          </w:p>
          <w:p w:rsidR="00000000" w:rsidDel="00000000" w:rsidP="00000000" w:rsidRDefault="00000000" w:rsidRPr="00000000" w14:paraId="00000041">
            <w:pPr>
              <w:rPr>
                <w:sz w:val="19"/>
                <w:szCs w:val="19"/>
              </w:rPr>
            </w:pPr>
            <w:r w:rsidDel="00000000" w:rsidR="00000000" w:rsidRPr="00000000">
              <w:rPr>
                <w:sz w:val="19"/>
                <w:szCs w:val="19"/>
                <w:rtl w:val="0"/>
              </w:rPr>
              <w:t xml:space="preserve">Engaged communities can in turn shape green infrastructure projects and planning processes, as well as how green infrastructure impacts their communities. For example, residents can shape the design of green infrastructure projects, the amenities included, and how projects plan for and address concerns such as job creation for neighborhood residents, workforce development, and housing affordability. </w:t>
            </w:r>
          </w:p>
        </w:tc>
      </w:tr>
      <w:tr>
        <w:trPr>
          <w:trHeight w:val="780" w:hRule="atLeast"/>
        </w:trPr>
        <w:tc>
          <w:tcPr>
            <w:shd w:fill="b8cce4" w:val="clear"/>
            <w:tcMar>
              <w:top w:w="100.0" w:type="dxa"/>
              <w:left w:w="100.0" w:type="dxa"/>
              <w:bottom w:w="100.0" w:type="dxa"/>
              <w:right w:w="100.0" w:type="dxa"/>
            </w:tcMar>
          </w:tcPr>
          <w:p w:rsidR="00000000" w:rsidDel="00000000" w:rsidP="00000000" w:rsidRDefault="00000000" w:rsidRPr="00000000" w14:paraId="00000042">
            <w:pPr>
              <w:rPr>
                <w:i w:val="1"/>
              </w:rPr>
            </w:pPr>
            <w:r w:rsidDel="00000000" w:rsidR="00000000" w:rsidRPr="00000000">
              <w:rPr>
                <w:i w:val="1"/>
                <w:rtl w:val="0"/>
              </w:rPr>
              <w:t xml:space="preserve">#4</w:t>
            </w:r>
          </w:p>
        </w:tc>
        <w:tc>
          <w:tcPr>
            <w:shd w:fill="b8cce4" w:val="clear"/>
            <w:tcMar>
              <w:top w:w="100.0" w:type="dxa"/>
              <w:left w:w="100.0" w:type="dxa"/>
              <w:bottom w:w="100.0" w:type="dxa"/>
              <w:right w:w="100.0" w:type="dxa"/>
            </w:tcMar>
          </w:tcPr>
          <w:p w:rsidR="00000000" w:rsidDel="00000000" w:rsidP="00000000" w:rsidRDefault="00000000" w:rsidRPr="00000000" w14:paraId="00000043">
            <w:pPr>
              <w:rPr>
                <w:i w:val="1"/>
              </w:rPr>
            </w:pPr>
            <w:r w:rsidDel="00000000" w:rsidR="00000000" w:rsidRPr="00000000">
              <w:rPr>
                <w:i w:val="1"/>
                <w:rtl w:val="0"/>
              </w:rPr>
              <w:t xml:space="preserve">Meaningful community participation in planning for green infrastructure is vital to ensuring projects benefit and empower communities.</w:t>
            </w:r>
          </w:p>
          <w:p w:rsidR="00000000" w:rsidDel="00000000" w:rsidP="00000000" w:rsidRDefault="00000000" w:rsidRPr="00000000" w14:paraId="00000044">
            <w:pPr>
              <w:rPr>
                <w:i w:val="1"/>
              </w:rPr>
            </w:pPr>
            <w:r w:rsidDel="00000000" w:rsidR="00000000" w:rsidRPr="00000000">
              <w:rPr>
                <w:rtl w:val="0"/>
              </w:rPr>
            </w:r>
          </w:p>
        </w:tc>
        <w:tc>
          <w:tcPr>
            <w:shd w:fill="b8cce4" w:val="clear"/>
            <w:tcMar>
              <w:top w:w="100.0" w:type="dxa"/>
              <w:left w:w="100.0" w:type="dxa"/>
              <w:bottom w:w="100.0" w:type="dxa"/>
              <w:right w:w="100.0" w:type="dxa"/>
            </w:tcMar>
          </w:tcPr>
          <w:p w:rsidR="00000000" w:rsidDel="00000000" w:rsidP="00000000" w:rsidRDefault="00000000" w:rsidRPr="00000000" w14:paraId="00000045">
            <w:pPr>
              <w:ind w:left="0" w:firstLine="0"/>
              <w:rPr>
                <w:sz w:val="19"/>
                <w:szCs w:val="19"/>
              </w:rPr>
            </w:pPr>
            <w:r w:rsidDel="00000000" w:rsidR="00000000" w:rsidRPr="00000000">
              <w:rPr>
                <w:sz w:val="19"/>
                <w:szCs w:val="19"/>
                <w:rtl w:val="0"/>
              </w:rPr>
              <w:t xml:space="preserve">Projects that engage communities in-depth and that have residents in leadership roles are more likely to make decisions that empower and benefit neighborhood residents. For example, an advisory board comprised of neighborhood residents would have knowledge of community assets, needs, and priorities that a board comprised of elected officials and government agency staff would not. Projects with strong community engagement and ownership components are more likely to incorporate residents’ concerns into green infrastructure projects and planning processes. In this way, meaningful community participation and ownership can shape projects in ways that support community wellbeing and quality of life. </w:t>
            </w:r>
          </w:p>
        </w:tc>
      </w:tr>
      <w:tr>
        <w:trPr>
          <w:trHeight w:val="780" w:hRule="atLeast"/>
        </w:trPr>
        <w:tc>
          <w:tcPr>
            <w:shd w:fill="ffffff" w:val="clear"/>
            <w:tcMar>
              <w:top w:w="100.0" w:type="dxa"/>
              <w:left w:w="100.0" w:type="dxa"/>
              <w:bottom w:w="100.0" w:type="dxa"/>
              <w:right w:w="100.0" w:type="dxa"/>
            </w:tcMar>
          </w:tcPr>
          <w:p w:rsidR="00000000" w:rsidDel="00000000" w:rsidP="00000000" w:rsidRDefault="00000000" w:rsidRPr="00000000" w14:paraId="00000046">
            <w:pPr>
              <w:rPr>
                <w:i w:val="1"/>
              </w:rPr>
            </w:pPr>
            <w:r w:rsidDel="00000000" w:rsidR="00000000" w:rsidRPr="00000000">
              <w:rPr>
                <w:i w:val="1"/>
                <w:rtl w:val="0"/>
              </w:rPr>
              <w:t xml:space="preserve">#5</w:t>
            </w:r>
          </w:p>
        </w:tc>
        <w:tc>
          <w:tcPr>
            <w:shd w:fill="ffffff" w:val="clear"/>
            <w:tcMar>
              <w:top w:w="100.0" w:type="dxa"/>
              <w:left w:w="100.0" w:type="dxa"/>
              <w:bottom w:w="100.0" w:type="dxa"/>
              <w:right w:w="100.0" w:type="dxa"/>
            </w:tcMar>
          </w:tcPr>
          <w:p w:rsidR="00000000" w:rsidDel="00000000" w:rsidP="00000000" w:rsidRDefault="00000000" w:rsidRPr="00000000" w14:paraId="00000047">
            <w:pPr>
              <w:rPr>
                <w:i w:val="1"/>
              </w:rPr>
            </w:pPr>
            <w:r w:rsidDel="00000000" w:rsidR="00000000" w:rsidRPr="00000000">
              <w:rPr>
                <w:i w:val="1"/>
                <w:rtl w:val="0"/>
              </w:rPr>
              <w:t xml:space="preserve">The broader political context in which green infrastructure is implemented in communities shapes the outcomes of green infrastructure projects. </w:t>
            </w:r>
          </w:p>
        </w:tc>
        <w:tc>
          <w:tcPr>
            <w:shd w:fill="ffffff" w:val="clear"/>
            <w:tcMar>
              <w:top w:w="100.0" w:type="dxa"/>
              <w:left w:w="100.0" w:type="dxa"/>
              <w:bottom w:w="100.0" w:type="dxa"/>
              <w:right w:w="100.0" w:type="dxa"/>
            </w:tcMar>
          </w:tcPr>
          <w:p w:rsidR="00000000" w:rsidDel="00000000" w:rsidP="00000000" w:rsidRDefault="00000000" w:rsidRPr="00000000" w14:paraId="00000048">
            <w:pPr>
              <w:rPr>
                <w:sz w:val="19"/>
                <w:szCs w:val="19"/>
              </w:rPr>
            </w:pPr>
            <w:r w:rsidDel="00000000" w:rsidR="00000000" w:rsidRPr="00000000">
              <w:rPr>
                <w:sz w:val="19"/>
                <w:szCs w:val="19"/>
                <w:rtl w:val="0"/>
              </w:rPr>
              <w:t xml:space="preserve">Political context shapes the ability of local governments, nonprofit organizations, community groups, and other actors to shape the impacts of green infrastructure projects. For example, cities with strong affordable housing policies, programs, and funding in place are more easily able to address gentrification and displacement concerns associated with green infrastructure than cities that don’t have these strategies in place.</w:t>
            </w:r>
          </w:p>
        </w:tc>
      </w:tr>
    </w:tbl>
    <w:p w:rsidR="00000000" w:rsidDel="00000000" w:rsidP="00000000" w:rsidRDefault="00000000" w:rsidRPr="00000000" w14:paraId="00000049">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4A">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4B">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4C">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4D">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4E">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4F">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0">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1">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2">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3">
      <w:pP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4">
      <w:pP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Worksheet 2: Green Infrastructure Model</w:t>
      </w:r>
    </w:p>
    <w:p w:rsidR="00000000" w:rsidDel="00000000" w:rsidP="00000000" w:rsidRDefault="00000000" w:rsidRPr="00000000" w14:paraId="00000055">
      <w:pPr>
        <w:pBdr>
          <w:bottom w:color="000000" w:space="1" w:sz="4" w:val="single"/>
        </w:pBdr>
        <w:rPr>
          <w:rFonts w:ascii="Georgia" w:cs="Georgia" w:eastAsia="Georgia" w:hAnsi="Georgia"/>
          <w:sz w:val="40"/>
          <w:szCs w:val="40"/>
        </w:rPr>
      </w:pPr>
      <w:r w:rsidDel="00000000" w:rsidR="00000000" w:rsidRPr="00000000">
        <w:rPr>
          <w:rFonts w:ascii="Georgia" w:cs="Georgia" w:eastAsia="Georgia" w:hAnsi="Georgia"/>
          <w:sz w:val="40"/>
          <w:szCs w:val="40"/>
        </w:rPr>
        <w:drawing>
          <wp:inline distB="114300" distT="114300" distL="114300" distR="114300">
            <wp:extent cx="6319838" cy="4742406"/>
            <wp:effectExtent b="0" l="0" r="0" t="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6319838" cy="4742406"/>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Bdr>
          <w:bottom w:color="000000" w:space="1" w:sz="4" w:val="single"/>
        </w:pBd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57">
      <w:pPr>
        <w:pBdr>
          <w:bottom w:color="000000" w:space="1" w:sz="4" w:val="single"/>
        </w:pBd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58">
      <w:pPr>
        <w:pBdr>
          <w:bottom w:color="000000" w:space="1" w:sz="4" w:val="single"/>
        </w:pBd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59">
      <w:pPr>
        <w:pBdr>
          <w:bottom w:color="000000" w:space="1" w:sz="4" w:val="single"/>
        </w:pBd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5A">
      <w:pPr>
        <w:pBdr>
          <w:bottom w:color="000000" w:space="1" w:sz="4" w:val="single"/>
        </w:pBd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5B">
      <w:pPr>
        <w:pBdr>
          <w:bottom w:color="000000" w:space="1" w:sz="4" w:val="single"/>
        </w:pBdr>
        <w:rPr>
          <w:rFonts w:ascii="Georgia" w:cs="Georgia" w:eastAsia="Georgia" w:hAnsi="Georgia"/>
          <w:sz w:val="40"/>
          <w:szCs w:val="40"/>
        </w:rPr>
      </w:pPr>
      <w:r w:rsidDel="00000000" w:rsidR="00000000" w:rsidRPr="00000000">
        <w:rPr>
          <w:rtl w:val="0"/>
        </w:rPr>
      </w:r>
    </w:p>
    <w:p w:rsidR="00000000" w:rsidDel="00000000" w:rsidP="00000000" w:rsidRDefault="00000000" w:rsidRPr="00000000" w14:paraId="0000005C">
      <w:pPr>
        <w:pBdr>
          <w:bottom w:color="000000" w:space="1" w:sz="4" w:val="single"/>
        </w:pBdr>
        <w:rPr>
          <w:rFonts w:ascii="Georgia" w:cs="Georgia" w:eastAsia="Georgia" w:hAnsi="Georgia"/>
          <w:sz w:val="40"/>
          <w:szCs w:val="40"/>
        </w:rPr>
      </w:pPr>
      <w:r w:rsidDel="00000000" w:rsidR="00000000" w:rsidRPr="00000000">
        <w:rPr>
          <w:rFonts w:ascii="Georgia" w:cs="Georgia" w:eastAsia="Georgia" w:hAnsi="Georgia"/>
          <w:color w:val="000000"/>
          <w:sz w:val="40"/>
          <w:szCs w:val="40"/>
          <w:rtl w:val="0"/>
        </w:rPr>
        <w:t xml:space="preserve">An Introduction to </w:t>
      </w:r>
      <w:r w:rsidDel="00000000" w:rsidR="00000000" w:rsidRPr="00000000">
        <w:rPr>
          <w:rFonts w:ascii="Georgia" w:cs="Georgia" w:eastAsia="Georgia" w:hAnsi="Georgia"/>
          <w:sz w:val="40"/>
          <w:szCs w:val="40"/>
          <w:rtl w:val="0"/>
        </w:rPr>
        <w:t xml:space="preserve">Green Infrastructure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40" w:before="360" w:line="276" w:lineRule="auto"/>
        <w:rPr>
          <w:rFonts w:ascii="Arial" w:cs="Arial" w:eastAsia="Arial" w:hAnsi="Arial"/>
          <w:b w:val="1"/>
          <w:color w:val="000000"/>
          <w:sz w:val="32"/>
          <w:szCs w:val="32"/>
        </w:rPr>
      </w:pPr>
      <w:r w:rsidDel="00000000" w:rsidR="00000000" w:rsidRPr="00000000">
        <w:rPr>
          <w:rFonts w:ascii="Georgia" w:cs="Georgia" w:eastAsia="Georgia" w:hAnsi="Georgia"/>
          <w:b w:val="1"/>
          <w:sz w:val="32"/>
          <w:szCs w:val="32"/>
          <w:rtl w:val="0"/>
        </w:rPr>
        <w:t xml:space="preserve">Instructions</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Before class, ask students to read:</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144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left="1440" w:hanging="72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Wolch, J. R., Byrne, J., &amp; Newell, J. P. (2014). Urban green space, public health, and environmental justice: The challenge of making cities ‘just green enough’. </w:t>
      </w:r>
      <w:r w:rsidDel="00000000" w:rsidR="00000000" w:rsidRPr="00000000">
        <w:rPr>
          <w:rFonts w:ascii="Arial" w:cs="Arial" w:eastAsia="Arial" w:hAnsi="Arial"/>
          <w:i w:val="1"/>
          <w:sz w:val="22"/>
          <w:szCs w:val="22"/>
          <w:rtl w:val="0"/>
        </w:rPr>
        <w:t xml:space="preserve">Landscape and urban planning</w:t>
      </w:r>
      <w:r w:rsidDel="00000000" w:rsidR="00000000" w:rsidRPr="00000000">
        <w:rPr>
          <w:rFonts w:ascii="Arial" w:cs="Arial" w:eastAsia="Arial" w:hAnsi="Arial"/>
          <w:sz w:val="22"/>
          <w:szCs w:val="22"/>
          <w:rtl w:val="0"/>
        </w:rPr>
        <w:t xml:space="preserve">, 125, 234-244.</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In class, deliver the slide lecture, titled </w:t>
      </w:r>
      <w:r w:rsidDel="00000000" w:rsidR="00000000" w:rsidRPr="00000000">
        <w:rPr>
          <w:rFonts w:ascii="Arial" w:cs="Arial" w:eastAsia="Arial" w:hAnsi="Arial"/>
          <w:sz w:val="22"/>
          <w:szCs w:val="22"/>
          <w:rtl w:val="0"/>
        </w:rPr>
        <w:t xml:space="preserve">“An Introduction to Green Infrastructure.”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Distribute the Green Infrastructure Key Conc</w:t>
      </w:r>
      <w:r w:rsidDel="00000000" w:rsidR="00000000" w:rsidRPr="00000000">
        <w:rPr>
          <w:rFonts w:ascii="Arial" w:cs="Arial" w:eastAsia="Arial" w:hAnsi="Arial"/>
          <w:sz w:val="22"/>
          <w:szCs w:val="22"/>
          <w:rtl w:val="0"/>
        </w:rPr>
        <w:t xml:space="preserve">epts and Green Infrastructure </w:t>
      </w:r>
      <w:r w:rsidDel="00000000" w:rsidR="00000000" w:rsidRPr="00000000">
        <w:rPr>
          <w:rFonts w:ascii="Arial" w:cs="Arial" w:eastAsia="Arial" w:hAnsi="Arial"/>
          <w:color w:val="000000"/>
          <w:sz w:val="22"/>
          <w:szCs w:val="22"/>
          <w:rtl w:val="0"/>
        </w:rPr>
        <w:t xml:space="preserve">Model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rtl w:val="0"/>
        </w:rPr>
        <w:t xml:space="preserve">andouts for students to refer to during the lecture (15 minutes).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72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Arial" w:cs="Arial" w:eastAsia="Arial" w:hAnsi="Arial"/>
          <w:color w:val="000000"/>
          <w:sz w:val="22"/>
          <w:szCs w:val="22"/>
          <w:rtl w:val="0"/>
        </w:rPr>
        <w:t xml:space="preserve">Prompt discussion – either individually or in teams – using the discussion questions below. Prioritize questions based on the learning needs of your class.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40" w:before="360" w:line="276" w:lineRule="auto"/>
        <w:rPr>
          <w:rFonts w:ascii="Arial" w:cs="Arial" w:eastAsia="Arial" w:hAnsi="Arial"/>
          <w:b w:val="1"/>
          <w:color w:val="000000"/>
          <w:sz w:val="22"/>
          <w:szCs w:val="22"/>
        </w:rPr>
      </w:pPr>
      <w:r w:rsidDel="00000000" w:rsidR="00000000" w:rsidRPr="00000000">
        <w:rPr>
          <w:rFonts w:ascii="Georgia" w:cs="Georgia" w:eastAsia="Georgia" w:hAnsi="Georgia"/>
          <w:b w:val="1"/>
          <w:sz w:val="22"/>
          <w:szCs w:val="22"/>
          <w:rtl w:val="0"/>
        </w:rPr>
        <w:t xml:space="preserve">Discussion Questions </w:t>
      </w: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120" w:line="276" w:lineRule="auto"/>
        <w:ind w:left="720" w:hanging="36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How does green infrastructure impact communities environmentally, economically, and socially? How have you seen green infrastructure impact your neighborhood, community, city, or region?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76" w:lineRule="auto"/>
        <w:ind w:left="720" w:firstLine="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120" w:line="276" w:lineRule="auto"/>
        <w:ind w:left="720" w:hanging="36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What types of programs and policies might go alongside planning for green infrastructure to ensure projects benefit residents of surrounding neighborhoods? How did the HABESHA, Living Cully, and Unity Park projects incorporate equitable development concerns? What else might be considered or included as green infrastructure projects are developed in low-income communities?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76" w:lineRule="auto"/>
        <w:ind w:left="720" w:firstLine="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120" w:line="276" w:lineRule="auto"/>
        <w:ind w:left="720" w:hanging="36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Why does it matter whether green infrastructure projects support meaningful community participation, leadership, and sharing of local knowledge? How might a green infrastructure project look different if residents of the surrounding neighborhood had a leadership role in planning it, as opposed to a project led by government agencies with very few opportunities for community input?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76" w:lineRule="auto"/>
        <w:ind w:left="720" w:firstLine="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120" w:line="276" w:lineRule="auto"/>
        <w:ind w:left="720" w:hanging="36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How might local policies, programs, and funding shape the ways in which green infrastructure projects impact communities vulnerable to gentrification and displacement? What types of policies and programs might help reduce these concerns and ensure residents benefit from investments in green infrastructure?  Can a combination of ‘just green enough’ strategies and policy change sufficiently prevent impacts of gentrification and displacement?</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276" w:lineRule="auto"/>
        <w:ind w:left="720" w:firstLine="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120" w:line="276" w:lineRule="auto"/>
        <w:ind w:left="720" w:hanging="36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You work for the City of Atlanta Department of Watershed Management and are put in charge of a green infrastructure planning process for a new park in Atlanta’s Westside neighborhoods. What are some important things to consider as you get started? How would you go about your role?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76" w:lineRule="auto"/>
        <w:ind w:left="720" w:firstLine="0"/>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76" w:lineRule="auto"/>
        <w:rPr>
          <w:rFonts w:ascii="Arial" w:cs="Arial" w:eastAsia="Arial" w:hAnsi="Arial"/>
          <w:i w:val="1"/>
          <w:sz w:val="24"/>
          <w:szCs w:val="24"/>
        </w:rPr>
      </w:pPr>
      <w:r w:rsidDel="00000000" w:rsidR="00000000" w:rsidRPr="00000000">
        <w:rPr>
          <w:rFonts w:ascii="Georgia" w:cs="Georgia" w:eastAsia="Georgia" w:hAnsi="Georgia"/>
          <w:b w:val="1"/>
          <w:sz w:val="32"/>
          <w:szCs w:val="32"/>
          <w:rtl w:val="0"/>
        </w:rPr>
        <w:t xml:space="preserve">Resources for </w:t>
      </w:r>
      <w:r w:rsidDel="00000000" w:rsidR="00000000" w:rsidRPr="00000000">
        <w:rPr>
          <w:rFonts w:ascii="Georgia" w:cs="Georgia" w:eastAsia="Georgia" w:hAnsi="Georgia"/>
          <w:b w:val="1"/>
          <w:color w:val="000000"/>
          <w:sz w:val="32"/>
          <w:szCs w:val="32"/>
          <w:rtl w:val="0"/>
        </w:rPr>
        <w:t xml:space="preserve">Further Reading </w:t>
      </w:r>
      <w:r w:rsidDel="00000000" w:rsidR="00000000" w:rsidRPr="00000000">
        <w:rPr>
          <w:rtl w:val="0"/>
        </w:rPr>
      </w:r>
    </w:p>
    <w:p w:rsidR="00000000" w:rsidDel="00000000" w:rsidP="00000000" w:rsidRDefault="00000000" w:rsidRPr="00000000" w14:paraId="00000071">
      <w:pPr>
        <w:pBdr>
          <w:bottom w:color="000000" w:space="1" w:sz="4" w:val="single"/>
        </w:pBdr>
        <w:spacing w:after="12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Defining Green Infrastructure/ General Overview</w:t>
      </w:r>
    </w:p>
    <w:p w:rsidR="00000000" w:rsidDel="00000000" w:rsidP="00000000" w:rsidRDefault="00000000" w:rsidRPr="00000000" w14:paraId="00000072">
      <w:pPr>
        <w:pBdr>
          <w:bottom w:color="000000" w:space="1" w:sz="4" w:val="single"/>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Rouse, D. C., &amp; Bunster-Ossa, I. F. (2013). </w:t>
      </w:r>
      <w:hyperlink r:id="rId19">
        <w:r w:rsidDel="00000000" w:rsidR="00000000" w:rsidRPr="00000000">
          <w:rPr>
            <w:rFonts w:ascii="Arial" w:cs="Arial" w:eastAsia="Arial" w:hAnsi="Arial"/>
            <w:i w:val="1"/>
            <w:color w:val="1155cc"/>
            <w:sz w:val="22"/>
            <w:szCs w:val="22"/>
            <w:u w:val="single"/>
            <w:rtl w:val="0"/>
          </w:rPr>
          <w:t xml:space="preserve">Green infrastructure: A landscape approach</w:t>
        </w:r>
      </w:hyperlink>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American Planning Association Planning Advisory Service Report Number 571.</w:t>
      </w:r>
    </w:p>
    <w:p w:rsidR="00000000" w:rsidDel="00000000" w:rsidP="00000000" w:rsidRDefault="00000000" w:rsidRPr="00000000" w14:paraId="00000073">
      <w:pPr>
        <w:pBdr>
          <w:bottom w:color="000000" w:space="1" w:sz="4" w:val="single"/>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Benedict, M. A., McMahon, E. T. (2006). </w:t>
      </w:r>
      <w:r w:rsidDel="00000000" w:rsidR="00000000" w:rsidRPr="00000000">
        <w:rPr>
          <w:rFonts w:ascii="Arial" w:cs="Arial" w:eastAsia="Arial" w:hAnsi="Arial"/>
          <w:i w:val="1"/>
          <w:sz w:val="22"/>
          <w:szCs w:val="22"/>
          <w:rtl w:val="0"/>
        </w:rPr>
        <w:t xml:space="preserve">Green infrastructure: Linking landscapes and communities</w:t>
      </w:r>
      <w:r w:rsidDel="00000000" w:rsidR="00000000" w:rsidRPr="00000000">
        <w:rPr>
          <w:rFonts w:ascii="Arial" w:cs="Arial" w:eastAsia="Arial" w:hAnsi="Arial"/>
          <w:sz w:val="22"/>
          <w:szCs w:val="22"/>
          <w:rtl w:val="0"/>
        </w:rPr>
        <w:t xml:space="preserve">. Washington, DC: Island Press.</w:t>
      </w:r>
    </w:p>
    <w:p w:rsidR="00000000" w:rsidDel="00000000" w:rsidP="00000000" w:rsidRDefault="00000000" w:rsidRPr="00000000" w14:paraId="00000074">
      <w:pPr>
        <w:pBdr>
          <w:bottom w:color="000000" w:space="1" w:sz="4" w:val="single"/>
        </w:pBdr>
        <w:spacing w:after="12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Environmental and Health Impacts of Green Infrastructure</w:t>
      </w:r>
    </w:p>
    <w:p w:rsidR="00000000" w:rsidDel="00000000" w:rsidP="00000000" w:rsidRDefault="00000000" w:rsidRPr="00000000" w14:paraId="00000075">
      <w:pPr>
        <w:pBdr>
          <w:bottom w:color="000000" w:space="1" w:sz="4" w:val="single"/>
        </w:pBdr>
        <w:spacing w:after="120" w:before="20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Tzoulas, K., Korpela, K., Venn, S., Yli-Pelkonen, V., Kaźmierczak, A., Niemela, J., &amp; James, P. (2007). Promoting ecosystem and human health in urban areas using green infrastructure: A literature review. </w:t>
      </w:r>
      <w:r w:rsidDel="00000000" w:rsidR="00000000" w:rsidRPr="00000000">
        <w:rPr>
          <w:rFonts w:ascii="Arial" w:cs="Arial" w:eastAsia="Arial" w:hAnsi="Arial"/>
          <w:i w:val="1"/>
          <w:sz w:val="22"/>
          <w:szCs w:val="22"/>
          <w:rtl w:val="0"/>
        </w:rPr>
        <w:t xml:space="preserve">Landscape and Urban Planning</w:t>
      </w:r>
      <w:r w:rsidDel="00000000" w:rsidR="00000000" w:rsidRPr="00000000">
        <w:rPr>
          <w:rFonts w:ascii="Arial" w:cs="Arial" w:eastAsia="Arial" w:hAnsi="Arial"/>
          <w:sz w:val="22"/>
          <w:szCs w:val="22"/>
          <w:rtl w:val="0"/>
        </w:rPr>
        <w:t xml:space="preserve">, 81(3), 167-178.</w:t>
      </w:r>
    </w:p>
    <w:p w:rsidR="00000000" w:rsidDel="00000000" w:rsidP="00000000" w:rsidRDefault="00000000" w:rsidRPr="00000000" w14:paraId="00000076">
      <w:pPr>
        <w:pBdr>
          <w:bottom w:color="000000" w:space="1" w:sz="4" w:val="single"/>
        </w:pBdr>
        <w:spacing w:after="120" w:before="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Lee, M. (2017, July 7). </w:t>
      </w:r>
      <w:hyperlink r:id="rId20">
        <w:r w:rsidDel="00000000" w:rsidR="00000000" w:rsidRPr="00000000">
          <w:rPr>
            <w:rFonts w:ascii="Arial" w:cs="Arial" w:eastAsia="Arial" w:hAnsi="Arial"/>
            <w:color w:val="1155cc"/>
            <w:sz w:val="22"/>
            <w:szCs w:val="22"/>
            <w:u w:val="single"/>
            <w:rtl w:val="0"/>
          </w:rPr>
          <w:t xml:space="preserve">Two parks, multiple benefits on schedule for westside next year</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Saporta Report</w:t>
      </w:r>
      <w:r w:rsidDel="00000000" w:rsidR="00000000" w:rsidRPr="00000000">
        <w:rPr>
          <w:rFonts w:ascii="Arial" w:cs="Arial" w:eastAsia="Arial" w:hAnsi="Arial"/>
          <w:sz w:val="22"/>
          <w:szCs w:val="22"/>
          <w:rtl w:val="0"/>
        </w:rPr>
        <w:t xml:space="preserve"> [Atlanta]. Retrieved from</w:t>
      </w:r>
      <w:hyperlink r:id="rId21">
        <w:r w:rsidDel="00000000" w:rsidR="00000000" w:rsidRPr="00000000">
          <w:rPr>
            <w:rFonts w:ascii="Arial" w:cs="Arial" w:eastAsia="Arial" w:hAnsi="Arial"/>
            <w:sz w:val="22"/>
            <w:szCs w:val="22"/>
            <w:rtl w:val="0"/>
          </w:rPr>
          <w:t xml:space="preserve"> </w:t>
        </w:r>
      </w:hyperlink>
      <w:hyperlink r:id="rId22">
        <w:r w:rsidDel="00000000" w:rsidR="00000000" w:rsidRPr="00000000">
          <w:rPr>
            <w:rFonts w:ascii="Arial" w:cs="Arial" w:eastAsia="Arial" w:hAnsi="Arial"/>
            <w:sz w:val="22"/>
            <w:szCs w:val="22"/>
            <w:u w:val="single"/>
            <w:rtl w:val="0"/>
          </w:rPr>
          <w:t xml:space="preserve">https://saportareport.com/two-parks-multiple-benefits-schedule-westside-next-year/</w:t>
        </w:r>
      </w:hyperlink>
      <w:r w:rsidDel="00000000" w:rsidR="00000000" w:rsidRPr="00000000">
        <w:rPr>
          <w:rtl w:val="0"/>
        </w:rPr>
      </w:r>
    </w:p>
    <w:p w:rsidR="00000000" w:rsidDel="00000000" w:rsidP="00000000" w:rsidRDefault="00000000" w:rsidRPr="00000000" w14:paraId="00000077">
      <w:pPr>
        <w:pBdr>
          <w:bottom w:color="000000" w:space="1" w:sz="4" w:val="single"/>
        </w:pBdr>
        <w:spacing w:after="12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Green Infrastructure and Economic Development</w:t>
      </w:r>
    </w:p>
    <w:p w:rsidR="00000000" w:rsidDel="00000000" w:rsidP="00000000" w:rsidRDefault="00000000" w:rsidRPr="00000000" w14:paraId="00000078">
      <w:pPr>
        <w:pBdr>
          <w:bottom w:color="000000" w:space="1" w:sz="4" w:val="single"/>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Daniels, T. (2008). Taking the initiative: why cities are greening now. In Birch, E. L., &amp; Wachter, S. M. (2008). </w:t>
      </w:r>
      <w:r w:rsidDel="00000000" w:rsidR="00000000" w:rsidRPr="00000000">
        <w:rPr>
          <w:rFonts w:ascii="Arial" w:cs="Arial" w:eastAsia="Arial" w:hAnsi="Arial"/>
          <w:i w:val="1"/>
          <w:sz w:val="22"/>
          <w:szCs w:val="22"/>
          <w:rtl w:val="0"/>
        </w:rPr>
        <w:t xml:space="preserve">Growing greener cities: Urban sustainability in the twenty-first century. </w:t>
      </w:r>
      <w:r w:rsidDel="00000000" w:rsidR="00000000" w:rsidRPr="00000000">
        <w:rPr>
          <w:rFonts w:ascii="Arial" w:cs="Arial" w:eastAsia="Arial" w:hAnsi="Arial"/>
          <w:sz w:val="22"/>
          <w:szCs w:val="22"/>
          <w:rtl w:val="0"/>
        </w:rPr>
        <w:t xml:space="preserve">Philadelphia: University of Pennsylvania Press.</w:t>
      </w:r>
    </w:p>
    <w:p w:rsidR="00000000" w:rsidDel="00000000" w:rsidP="00000000" w:rsidRDefault="00000000" w:rsidRPr="00000000" w14:paraId="00000079">
      <w:pPr>
        <w:pBdr>
          <w:bottom w:color="000000" w:space="1" w:sz="4" w:val="single"/>
        </w:pBdr>
        <w:spacing w:after="12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Social Outcomes of Green Infrastructure</w:t>
      </w:r>
    </w:p>
    <w:p w:rsidR="00000000" w:rsidDel="00000000" w:rsidP="00000000" w:rsidRDefault="00000000" w:rsidRPr="00000000" w14:paraId="0000007A">
      <w:pPr>
        <w:pBdr>
          <w:bottom w:color="000000" w:space="1" w:sz="4" w:val="single"/>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Tidball K.G., Krasny M.E. (2009). From risk to resilience: what role for community greening and civic ecology in cities? In Wals, A. E. (Ed.). (2007). </w:t>
      </w:r>
      <w:r w:rsidDel="00000000" w:rsidR="00000000" w:rsidRPr="00000000">
        <w:rPr>
          <w:rFonts w:ascii="Arial" w:cs="Arial" w:eastAsia="Arial" w:hAnsi="Arial"/>
          <w:i w:val="1"/>
          <w:sz w:val="22"/>
          <w:szCs w:val="22"/>
          <w:rtl w:val="0"/>
        </w:rPr>
        <w:t xml:space="preserve">Social learning towards a sustainable world: Principles, perspectives, and praxis</w:t>
      </w:r>
      <w:r w:rsidDel="00000000" w:rsidR="00000000" w:rsidRPr="00000000">
        <w:rPr>
          <w:rFonts w:ascii="Arial" w:cs="Arial" w:eastAsia="Arial" w:hAnsi="Arial"/>
          <w:sz w:val="22"/>
          <w:szCs w:val="22"/>
          <w:rtl w:val="0"/>
        </w:rPr>
        <w:t xml:space="preserve">. Wageningen Academic Pub.</w:t>
      </w:r>
    </w:p>
    <w:p w:rsidR="00000000" w:rsidDel="00000000" w:rsidP="00000000" w:rsidRDefault="00000000" w:rsidRPr="00000000" w14:paraId="0000007B">
      <w:pPr>
        <w:pBdr>
          <w:bottom w:color="000000" w:space="1" w:sz="4" w:val="single"/>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Wilker, J., Rusche, K., &amp; Rymsa-Fitschen, C. (2016). Improving participation in green infrastructure planning. </w:t>
      </w:r>
      <w:r w:rsidDel="00000000" w:rsidR="00000000" w:rsidRPr="00000000">
        <w:rPr>
          <w:rFonts w:ascii="Arial" w:cs="Arial" w:eastAsia="Arial" w:hAnsi="Arial"/>
          <w:i w:val="1"/>
          <w:sz w:val="22"/>
          <w:szCs w:val="22"/>
          <w:rtl w:val="0"/>
        </w:rPr>
        <w:t xml:space="preserve">Planning Practice &amp; Research</w:t>
      </w:r>
      <w:r w:rsidDel="00000000" w:rsidR="00000000" w:rsidRPr="00000000">
        <w:rPr>
          <w:rFonts w:ascii="Arial" w:cs="Arial" w:eastAsia="Arial" w:hAnsi="Arial"/>
          <w:sz w:val="22"/>
          <w:szCs w:val="22"/>
          <w:rtl w:val="0"/>
        </w:rPr>
        <w:t xml:space="preserve">, 31(3), 229-249.</w:t>
      </w:r>
    </w:p>
    <w:p w:rsidR="00000000" w:rsidDel="00000000" w:rsidP="00000000" w:rsidRDefault="00000000" w:rsidRPr="00000000" w14:paraId="0000007C">
      <w:pPr>
        <w:pBdr>
          <w:top w:space="0" w:sz="0" w:val="nil"/>
          <w:left w:space="0" w:sz="0" w:val="nil"/>
          <w:bottom w:color="000000" w:space="1" w:sz="4" w:val="single"/>
          <w:right w:space="0" w:sz="0" w:val="nil"/>
          <w:between w:space="0" w:sz="0" w:val="nil"/>
        </w:pBdr>
        <w:spacing w:after="12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Environmental Gentrification</w:t>
      </w:r>
      <w:r w:rsidDel="00000000" w:rsidR="00000000" w:rsidRPr="00000000">
        <w:rPr>
          <w:rtl w:val="0"/>
        </w:rPr>
      </w:r>
    </w:p>
    <w:p w:rsidR="00000000" w:rsidDel="00000000" w:rsidP="00000000" w:rsidRDefault="00000000" w:rsidRPr="00000000" w14:paraId="0000007D">
      <w:pPr>
        <w:pBdr>
          <w:top w:space="0" w:sz="0" w:val="nil"/>
          <w:left w:space="0" w:sz="0" w:val="nil"/>
          <w:bottom w:color="000000" w:space="1" w:sz="4" w:val="single"/>
          <w:right w:space="0" w:sz="0" w:val="nil"/>
          <w:between w:space="0" w:sz="0" w:val="nil"/>
        </w:pBdr>
        <w:spacing w:after="12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Sisson, P. (2018, July 17). </w:t>
      </w:r>
      <w:hyperlink r:id="rId23">
        <w:r w:rsidDel="00000000" w:rsidR="00000000" w:rsidRPr="00000000">
          <w:rPr>
            <w:rFonts w:ascii="Arial" w:cs="Arial" w:eastAsia="Arial" w:hAnsi="Arial"/>
            <w:color w:val="1155cc"/>
            <w:sz w:val="22"/>
            <w:szCs w:val="22"/>
            <w:highlight w:val="white"/>
            <w:u w:val="single"/>
            <w:rtl w:val="0"/>
          </w:rPr>
          <w:t xml:space="preserve">Can high-profile park projects, catalysts for development, play nice with neighboring communities?</w:t>
        </w:r>
      </w:hyperlink>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Curbed</w:t>
      </w:r>
      <w:r w:rsidDel="00000000" w:rsidR="00000000" w:rsidRPr="00000000">
        <w:rPr>
          <w:rFonts w:ascii="Arial" w:cs="Arial" w:eastAsia="Arial" w:hAnsi="Arial"/>
          <w:sz w:val="22"/>
          <w:szCs w:val="22"/>
          <w:highlight w:val="white"/>
          <w:rtl w:val="0"/>
        </w:rPr>
        <w:t xml:space="preserve">. Retrieved from </w:t>
      </w:r>
      <w:r w:rsidDel="00000000" w:rsidR="00000000" w:rsidRPr="00000000">
        <w:rPr>
          <w:rFonts w:ascii="Arial" w:cs="Arial" w:eastAsia="Arial" w:hAnsi="Arial"/>
          <w:sz w:val="22"/>
          <w:szCs w:val="22"/>
          <w:highlight w:val="white"/>
          <w:rtl w:val="0"/>
        </w:rPr>
        <w:t xml:space="preserve">https://www.curbed.com/2018/7/17/17581456/park-high-line-606-affordable-housing-development</w:t>
      </w:r>
      <w:r w:rsidDel="00000000" w:rsidR="00000000" w:rsidRPr="00000000">
        <w:rPr>
          <w:rtl w:val="0"/>
        </w:rPr>
      </w:r>
    </w:p>
    <w:p w:rsidR="00000000" w:rsidDel="00000000" w:rsidP="00000000" w:rsidRDefault="00000000" w:rsidRPr="00000000" w14:paraId="0000007E">
      <w:pPr>
        <w:pBdr>
          <w:top w:space="0" w:sz="0" w:val="nil"/>
          <w:left w:space="0" w:sz="0" w:val="nil"/>
          <w:bottom w:color="000000" w:space="1" w:sz="4" w:val="single"/>
          <w:right w:space="0" w:sz="0" w:val="nil"/>
          <w:between w:space="0" w:sz="0" w:val="nil"/>
        </w:pBdr>
        <w:spacing w:after="12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Abello, O. (2019, March 7). </w:t>
      </w:r>
      <w:hyperlink r:id="rId24">
        <w:r w:rsidDel="00000000" w:rsidR="00000000" w:rsidRPr="00000000">
          <w:rPr>
            <w:rFonts w:ascii="Arial" w:cs="Arial" w:eastAsia="Arial" w:hAnsi="Arial"/>
            <w:color w:val="1155cc"/>
            <w:sz w:val="22"/>
            <w:szCs w:val="22"/>
            <w:highlight w:val="white"/>
            <w:u w:val="single"/>
            <w:rtl w:val="0"/>
          </w:rPr>
          <w:t xml:space="preserve">Why history matters in equitable development planning</w:t>
        </w:r>
      </w:hyperlink>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Next City</w:t>
      </w:r>
      <w:r w:rsidDel="00000000" w:rsidR="00000000" w:rsidRPr="00000000">
        <w:rPr>
          <w:rFonts w:ascii="Arial" w:cs="Arial" w:eastAsia="Arial" w:hAnsi="Arial"/>
          <w:sz w:val="22"/>
          <w:szCs w:val="22"/>
          <w:highlight w:val="white"/>
          <w:rtl w:val="0"/>
        </w:rPr>
        <w:t xml:space="preserve">. Retrieved from https://nextcity.org/daily/entry/why-history-matters-in-equitable-development-planning</w:t>
      </w:r>
    </w:p>
    <w:p w:rsidR="00000000" w:rsidDel="00000000" w:rsidP="00000000" w:rsidRDefault="00000000" w:rsidRPr="00000000" w14:paraId="0000007F">
      <w:pPr>
        <w:pBdr>
          <w:top w:space="0" w:sz="0" w:val="nil"/>
          <w:left w:space="0" w:sz="0" w:val="nil"/>
          <w:bottom w:color="000000" w:space="1" w:sz="4" w:val="single"/>
          <w:right w:space="0" w:sz="0" w:val="nil"/>
          <w:between w:space="0" w:sz="0" w:val="nil"/>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Bogle, M., Diby, S., &amp; Cohen, M. (2019). </w:t>
      </w:r>
      <w:hyperlink r:id="rId25">
        <w:r w:rsidDel="00000000" w:rsidR="00000000" w:rsidRPr="00000000">
          <w:rPr>
            <w:rFonts w:ascii="Arial" w:cs="Arial" w:eastAsia="Arial" w:hAnsi="Arial"/>
            <w:i w:val="1"/>
            <w:color w:val="1155cc"/>
            <w:sz w:val="22"/>
            <w:szCs w:val="22"/>
            <w:highlight w:val="white"/>
            <w:u w:val="single"/>
            <w:rtl w:val="0"/>
          </w:rPr>
          <w:t xml:space="preserve">Equitable development and urban park space: Results and insights from the first two years of implementation of the Equitable Development Plan of DC’s 11th Street Bridge Park project</w:t>
        </w:r>
      </w:hyperlink>
      <w:r w:rsidDel="00000000" w:rsidR="00000000" w:rsidRPr="00000000">
        <w:rPr>
          <w:rFonts w:ascii="Arial" w:cs="Arial" w:eastAsia="Arial" w:hAnsi="Arial"/>
          <w:sz w:val="22"/>
          <w:szCs w:val="22"/>
          <w:highlight w:val="white"/>
          <w:rtl w:val="0"/>
        </w:rPr>
        <w:t xml:space="preserve">. Retrieved from Urban Institute website: https://www.urban.org/sites/default/files/publication/99850/equitable_development_and_urban_park_space_1.pdf</w:t>
      </w:r>
      <w:r w:rsidDel="00000000" w:rsidR="00000000" w:rsidRPr="00000000">
        <w:rPr>
          <w:rtl w:val="0"/>
        </w:rPr>
      </w:r>
    </w:p>
    <w:p w:rsidR="00000000" w:rsidDel="00000000" w:rsidP="00000000" w:rsidRDefault="00000000" w:rsidRPr="00000000" w14:paraId="00000080">
      <w:pPr>
        <w:pBdr>
          <w:top w:space="0" w:sz="0" w:val="nil"/>
          <w:left w:space="0" w:sz="0" w:val="nil"/>
          <w:bottom w:color="000000" w:space="1" w:sz="4" w:val="single"/>
          <w:right w:space="0" w:sz="0" w:val="nil"/>
          <w:between w:space="0" w:sz="0" w:val="nil"/>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Anguelovski, I. (2015). From Toxic Sites to Parks as (Green) LULUs? New Challenges of Inequity, Privilege, Gentrification, and Exclusion for Urban Environmental Justice. </w:t>
      </w:r>
      <w:r w:rsidDel="00000000" w:rsidR="00000000" w:rsidRPr="00000000">
        <w:rPr>
          <w:rFonts w:ascii="Arial" w:cs="Arial" w:eastAsia="Arial" w:hAnsi="Arial"/>
          <w:i w:val="1"/>
          <w:sz w:val="22"/>
          <w:szCs w:val="22"/>
          <w:rtl w:val="0"/>
        </w:rPr>
        <w:t xml:space="preserve">Journal of Planning Literature</w:t>
      </w:r>
      <w:r w:rsidDel="00000000" w:rsidR="00000000" w:rsidRPr="00000000">
        <w:rPr>
          <w:rFonts w:ascii="Arial" w:cs="Arial" w:eastAsia="Arial" w:hAnsi="Arial"/>
          <w:sz w:val="22"/>
          <w:szCs w:val="22"/>
          <w:rtl w:val="0"/>
        </w:rPr>
        <w:t xml:space="preserve">, 0885412215610491.</w:t>
      </w:r>
    </w:p>
    <w:p w:rsidR="00000000" w:rsidDel="00000000" w:rsidP="00000000" w:rsidRDefault="00000000" w:rsidRPr="00000000" w14:paraId="00000081">
      <w:pPr>
        <w:pBdr>
          <w:top w:space="0" w:sz="0" w:val="nil"/>
          <w:left w:space="0" w:sz="0" w:val="nil"/>
          <w:bottom w:color="000000" w:space="1" w:sz="4" w:val="single"/>
          <w:right w:space="0" w:sz="0" w:val="nil"/>
          <w:between w:space="0" w:sz="0" w:val="nil"/>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Immergluck, D., &amp; Balan, T. (2018). Sustainable for whom? Green urban development, environmental gentrification, and the Atlanta Beltline. </w:t>
      </w:r>
      <w:r w:rsidDel="00000000" w:rsidR="00000000" w:rsidRPr="00000000">
        <w:rPr>
          <w:rFonts w:ascii="Arial" w:cs="Arial" w:eastAsia="Arial" w:hAnsi="Arial"/>
          <w:i w:val="1"/>
          <w:sz w:val="22"/>
          <w:szCs w:val="22"/>
          <w:rtl w:val="0"/>
        </w:rPr>
        <w:t xml:space="preserve">Urban Geography</w:t>
      </w:r>
      <w:r w:rsidDel="00000000" w:rsidR="00000000" w:rsidRPr="00000000">
        <w:rPr>
          <w:rFonts w:ascii="Arial" w:cs="Arial" w:eastAsia="Arial" w:hAnsi="Arial"/>
          <w:sz w:val="22"/>
          <w:szCs w:val="22"/>
          <w:rtl w:val="0"/>
        </w:rPr>
        <w:t xml:space="preserve">, 39(4), 546-562.</w:t>
      </w:r>
    </w:p>
    <w:p w:rsidR="00000000" w:rsidDel="00000000" w:rsidP="00000000" w:rsidRDefault="00000000" w:rsidRPr="00000000" w14:paraId="00000082">
      <w:pPr>
        <w:pBdr>
          <w:bottom w:color="000000" w:space="1" w:sz="4" w:val="single"/>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Curran, W., &amp; Hamilton, T. (2012). Just green enough: Contesting environmental gentrification in Greenpoint, Brooklyn. </w:t>
      </w:r>
      <w:r w:rsidDel="00000000" w:rsidR="00000000" w:rsidRPr="00000000">
        <w:rPr>
          <w:rFonts w:ascii="Arial" w:cs="Arial" w:eastAsia="Arial" w:hAnsi="Arial"/>
          <w:i w:val="1"/>
          <w:sz w:val="22"/>
          <w:szCs w:val="22"/>
          <w:rtl w:val="0"/>
        </w:rPr>
        <w:t xml:space="preserve">Local Environment</w:t>
      </w:r>
      <w:r w:rsidDel="00000000" w:rsidR="00000000" w:rsidRPr="00000000">
        <w:rPr>
          <w:rFonts w:ascii="Arial" w:cs="Arial" w:eastAsia="Arial" w:hAnsi="Arial"/>
          <w:sz w:val="22"/>
          <w:szCs w:val="22"/>
          <w:rtl w:val="0"/>
        </w:rPr>
        <w:t xml:space="preserve">, 17(9), 1027-1042.</w:t>
      </w:r>
    </w:p>
    <w:p w:rsidR="00000000" w:rsidDel="00000000" w:rsidP="00000000" w:rsidRDefault="00000000" w:rsidRPr="00000000" w14:paraId="00000083">
      <w:pPr>
        <w:pBdr>
          <w:bottom w:color="000000" w:space="1" w:sz="4" w:val="single"/>
        </w:pBdr>
        <w:spacing w:after="12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Sustainable and Equitable Development</w:t>
      </w:r>
      <w:r w:rsidDel="00000000" w:rsidR="00000000" w:rsidRPr="00000000">
        <w:rPr>
          <w:rtl w:val="0"/>
        </w:rPr>
      </w:r>
    </w:p>
    <w:p w:rsidR="00000000" w:rsidDel="00000000" w:rsidP="00000000" w:rsidRDefault="00000000" w:rsidRPr="00000000" w14:paraId="00000084">
      <w:pPr>
        <w:pBdr>
          <w:bottom w:color="000000" w:space="1" w:sz="4" w:val="single"/>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Agyeman, J. (2013). </w:t>
      </w:r>
      <w:r w:rsidDel="00000000" w:rsidR="00000000" w:rsidRPr="00000000">
        <w:rPr>
          <w:rFonts w:ascii="Arial" w:cs="Arial" w:eastAsia="Arial" w:hAnsi="Arial"/>
          <w:i w:val="1"/>
          <w:sz w:val="22"/>
          <w:szCs w:val="22"/>
          <w:rtl w:val="0"/>
        </w:rPr>
        <w:t xml:space="preserve">Introducing Just Sustainabilities: Policy, Planning and Practice</w:t>
      </w:r>
      <w:r w:rsidDel="00000000" w:rsidR="00000000" w:rsidRPr="00000000">
        <w:rPr>
          <w:rFonts w:ascii="Arial" w:cs="Arial" w:eastAsia="Arial" w:hAnsi="Arial"/>
          <w:sz w:val="22"/>
          <w:szCs w:val="22"/>
          <w:rtl w:val="0"/>
        </w:rPr>
        <w:t xml:space="preserve">. Zed Books.</w:t>
      </w:r>
    </w:p>
    <w:p w:rsidR="00000000" w:rsidDel="00000000" w:rsidP="00000000" w:rsidRDefault="00000000" w:rsidRPr="00000000" w14:paraId="00000085">
      <w:pPr>
        <w:pBdr>
          <w:top w:space="0" w:sz="0" w:val="nil"/>
          <w:left w:space="0" w:sz="0" w:val="nil"/>
          <w:bottom w:color="000000" w:space="1" w:sz="4" w:val="single"/>
          <w:right w:space="0" w:sz="0" w:val="nil"/>
          <w:between w:space="0" w:sz="0" w:val="nil"/>
        </w:pBd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Zavestoski, S., &amp; Agyeman, J. (Eds.). (2014). </w:t>
      </w:r>
      <w:r w:rsidDel="00000000" w:rsidR="00000000" w:rsidRPr="00000000">
        <w:rPr>
          <w:rFonts w:ascii="Arial" w:cs="Arial" w:eastAsia="Arial" w:hAnsi="Arial"/>
          <w:i w:val="1"/>
          <w:sz w:val="22"/>
          <w:szCs w:val="22"/>
          <w:rtl w:val="0"/>
        </w:rPr>
        <w:t xml:space="preserve">Incomplete Streets: Processes, Practices, and Possibilities</w:t>
      </w:r>
      <w:r w:rsidDel="00000000" w:rsidR="00000000" w:rsidRPr="00000000">
        <w:rPr>
          <w:rFonts w:ascii="Arial" w:cs="Arial" w:eastAsia="Arial" w:hAnsi="Arial"/>
          <w:sz w:val="22"/>
          <w:szCs w:val="22"/>
          <w:rtl w:val="0"/>
        </w:rPr>
        <w:t xml:space="preserve">. Routledge.</w:t>
      </w:r>
    </w:p>
    <w:p w:rsidR="00000000" w:rsidDel="00000000" w:rsidP="00000000" w:rsidRDefault="00000000" w:rsidRPr="00000000" w14:paraId="00000086">
      <w:pPr>
        <w:pBdr>
          <w:top w:space="0" w:sz="0" w:val="nil"/>
          <w:left w:space="0" w:sz="0" w:val="nil"/>
          <w:bottom w:color="000000" w:space="1" w:sz="4" w:val="single"/>
          <w:right w:space="0" w:sz="0" w:val="nil"/>
          <w:between w:space="0" w:sz="0" w:val="nil"/>
        </w:pBdr>
        <w:spacing w:after="120" w:line="276"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color="000000" w:space="1" w:sz="4" w:val="single"/>
          <w:right w:space="0" w:sz="0" w:val="nil"/>
          <w:between w:space="0" w:sz="0" w:val="nil"/>
        </w:pBdr>
        <w:spacing w:after="120" w:line="276" w:lineRule="auto"/>
        <w:rPr>
          <w:rFonts w:ascii="Georgia" w:cs="Georgia" w:eastAsia="Georgia" w:hAnsi="Georgia"/>
          <w:color w:val="000000"/>
          <w:sz w:val="40"/>
          <w:szCs w:val="40"/>
        </w:rPr>
      </w:pPr>
      <w:r w:rsidDel="00000000" w:rsidR="00000000" w:rsidRPr="00000000">
        <w:rPr>
          <w:rFonts w:ascii="Georgia" w:cs="Georgia" w:eastAsia="Georgia" w:hAnsi="Georgia"/>
          <w:color w:val="000000"/>
          <w:sz w:val="40"/>
          <w:szCs w:val="40"/>
          <w:rtl w:val="0"/>
        </w:rPr>
        <w:t xml:space="preserve">SLS Student Learning Outcomes </w:t>
      </w:r>
    </w:p>
    <w:p w:rsidR="00000000" w:rsidDel="00000000" w:rsidP="00000000" w:rsidRDefault="00000000" w:rsidRPr="00000000" w14:paraId="00000088">
      <w:pPr>
        <w:numPr>
          <w:ilvl w:val="0"/>
          <w:numId w:val="4"/>
        </w:numPr>
        <w:spacing w:after="120" w:before="240" w:line="240" w:lineRule="auto"/>
        <w:ind w:left="720" w:hanging="360"/>
        <w:rPr/>
      </w:pPr>
      <w:r w:rsidDel="00000000" w:rsidR="00000000" w:rsidRPr="00000000">
        <w:rPr>
          <w:rFonts w:ascii="Arial" w:cs="Arial" w:eastAsia="Arial" w:hAnsi="Arial"/>
          <w:sz w:val="24"/>
          <w:szCs w:val="24"/>
          <w:rtl w:val="0"/>
        </w:rPr>
        <w:t xml:space="preserve">Identify relationships among ecological, social, and economic systems.</w:t>
      </w:r>
      <w:r w:rsidDel="00000000" w:rsidR="00000000" w:rsidRPr="00000000">
        <w:rPr>
          <w:rtl w:val="0"/>
        </w:rPr>
      </w:r>
    </w:p>
    <w:p w:rsidR="00000000" w:rsidDel="00000000" w:rsidP="00000000" w:rsidRDefault="00000000" w:rsidRPr="00000000" w14:paraId="00000089">
      <w:pPr>
        <w:numPr>
          <w:ilvl w:val="0"/>
          <w:numId w:val="4"/>
        </w:numPr>
        <w:spacing w:after="120" w:line="240" w:lineRule="auto"/>
        <w:ind w:left="720" w:hanging="360"/>
        <w:rPr/>
      </w:pPr>
      <w:r w:rsidDel="00000000" w:rsidR="00000000" w:rsidRPr="00000000">
        <w:rPr>
          <w:rFonts w:ascii="Arial" w:cs="Arial" w:eastAsia="Arial" w:hAnsi="Arial"/>
          <w:sz w:val="24"/>
          <w:szCs w:val="24"/>
          <w:rtl w:val="0"/>
        </w:rPr>
        <w:t xml:space="preserve">Demonstrate skills needed to work effectively in different types of communities.</w:t>
      </w:r>
      <w:r w:rsidDel="00000000" w:rsidR="00000000" w:rsidRPr="00000000">
        <w:rPr>
          <w:rtl w:val="0"/>
        </w:rPr>
      </w:r>
    </w:p>
    <w:p w:rsidR="00000000" w:rsidDel="00000000" w:rsidP="00000000" w:rsidRDefault="00000000" w:rsidRPr="00000000" w14:paraId="0000008A">
      <w:pPr>
        <w:numPr>
          <w:ilvl w:val="0"/>
          <w:numId w:val="4"/>
        </w:numPr>
        <w:spacing w:after="120" w:line="240" w:lineRule="auto"/>
        <w:ind w:left="720" w:hanging="360"/>
        <w:rPr/>
      </w:pPr>
      <w:r w:rsidDel="00000000" w:rsidR="00000000" w:rsidRPr="00000000">
        <w:rPr>
          <w:rFonts w:ascii="Arial" w:cs="Arial" w:eastAsia="Arial" w:hAnsi="Arial"/>
          <w:sz w:val="24"/>
          <w:szCs w:val="24"/>
          <w:rtl w:val="0"/>
        </w:rPr>
        <w:t xml:space="preserve">Evaluate how decisions impact the sustainability of communities.</w:t>
      </w:r>
      <w:r w:rsidDel="00000000" w:rsidR="00000000" w:rsidRPr="00000000">
        <w:rPr>
          <w:rtl w:val="0"/>
        </w:rPr>
      </w:r>
    </w:p>
    <w:p w:rsidR="00000000" w:rsidDel="00000000" w:rsidP="00000000" w:rsidRDefault="00000000" w:rsidRPr="00000000" w14:paraId="0000008B">
      <w:pPr>
        <w:numPr>
          <w:ilvl w:val="0"/>
          <w:numId w:val="4"/>
        </w:numPr>
        <w:spacing w:after="120" w:line="240" w:lineRule="auto"/>
        <w:ind w:left="720" w:hanging="360"/>
        <w:rPr/>
      </w:pPr>
      <w:r w:rsidDel="00000000" w:rsidR="00000000" w:rsidRPr="00000000">
        <w:rPr>
          <w:rFonts w:ascii="Arial" w:cs="Arial" w:eastAsia="Arial" w:hAnsi="Arial"/>
          <w:sz w:val="24"/>
          <w:szCs w:val="24"/>
          <w:rtl w:val="0"/>
        </w:rPr>
        <w:t xml:space="preserve">Describe how to use their discipline to make communities more sustainable.*</w:t>
        <w:br w:type="textWrapping"/>
      </w:r>
      <w:r w:rsidDel="00000000" w:rsidR="00000000" w:rsidRPr="00000000">
        <w:rPr>
          <w:rtl w:val="0"/>
        </w:rPr>
      </w:r>
    </w:p>
    <w:p w:rsidR="00000000" w:rsidDel="00000000" w:rsidP="00000000" w:rsidRDefault="00000000" w:rsidRPr="00000000" w14:paraId="0000008C">
      <w:pPr>
        <w:spacing w:after="120" w:line="24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Note: </w:t>
      </w:r>
      <w:r w:rsidDel="00000000" w:rsidR="00000000" w:rsidRPr="00000000">
        <w:rPr>
          <w:rFonts w:ascii="Arial" w:cs="Arial" w:eastAsia="Arial" w:hAnsi="Arial"/>
          <w:sz w:val="22"/>
          <w:szCs w:val="22"/>
          <w:rtl w:val="0"/>
        </w:rPr>
        <w:t xml:space="preserve">SLO 4 is intended to be used by upper division, project-based courses such as Capstone.</w:t>
      </w:r>
    </w:p>
    <w:sectPr>
      <w:headerReference r:id="rId26" w:type="default"/>
      <w:headerReference r:id="rId27" w:type="first"/>
      <w:footerReference r:id="rId28" w:type="default"/>
      <w:footerReference r:id="rId29" w:type="first"/>
      <w:pgSz w:h="15840" w:w="12240"/>
      <w:pgMar w:bottom="1440" w:top="1440" w:left="1440" w:right="144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www.serve-learn-sustain.gatech.edu/teaching-resources-toolkit</w:t>
      <w:tab/>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rPr>
    </w:pPr>
    <w:hyperlink r:id="rId1">
      <w:r w:rsidDel="00000000" w:rsidR="00000000" w:rsidRPr="00000000">
        <w:rPr>
          <w:rFonts w:ascii="Arial" w:cs="Arial" w:eastAsia="Arial" w:hAnsi="Arial"/>
          <w:rtl w:val="0"/>
        </w:rPr>
        <w:t xml:space="preserve">www.serve-learn-sustain.gatech.edu/teaching-resources-toolkit</w:t>
      </w:r>
    </w:hyperlink>
    <w:r w:rsidDel="00000000" w:rsidR="00000000" w:rsidRPr="00000000">
      <w:rPr>
        <w:rFonts w:ascii="Arial" w:cs="Arial" w:eastAsia="Arial" w:hAnsi="Arial"/>
        <w:rtl w:val="0"/>
      </w:rPr>
      <w:t xml:space="preserve"> </w:t>
      <w:tab/>
      <w:t xml:space="preserve">1</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drawing>
        <wp:inline distB="0" distT="0" distL="0" distR="0">
          <wp:extent cx="4473743" cy="345568"/>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3743" cy="345568"/>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Arial" w:cs="Arial" w:eastAsia="Arial" w:hAnsi="Arial"/>
        <w:sz w:val="25"/>
        <w:szCs w:val="25"/>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US"/>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lineRule="auto"/>
    </w:pPr>
    <w:rPr>
      <w:b w:val="1"/>
      <w:sz w:val="36"/>
      <w:szCs w:val="36"/>
    </w:rPr>
  </w:style>
  <w:style w:type="paragraph" w:styleId="Heading2">
    <w:name w:val="heading 2"/>
    <w:basedOn w:val="Normal"/>
    <w:next w:val="Normal"/>
    <w:pPr/>
    <w:rPr>
      <w:sz w:val="32"/>
      <w:szCs w:val="32"/>
      <w:u w:val="single"/>
    </w:rPr>
  </w:style>
  <w:style w:type="paragraph" w:styleId="Heading3">
    <w:name w:val="heading 3"/>
    <w:basedOn w:val="Normal"/>
    <w:next w:val="Normal"/>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aportareport.com/two-parks-multiple-benefits-schedule-westside-next-year/" TargetMode="External"/><Relationship Id="rId22" Type="http://schemas.openxmlformats.org/officeDocument/2006/relationships/hyperlink" Target="https://saportareport.com/two-parks-multiple-benefits-schedule-westside-next-year/" TargetMode="External"/><Relationship Id="rId21" Type="http://schemas.openxmlformats.org/officeDocument/2006/relationships/hyperlink" Target="https://saportareport.com/two-parks-multiple-benefits-schedule-westside-next-year/" TargetMode="External"/><Relationship Id="rId24" Type="http://schemas.openxmlformats.org/officeDocument/2006/relationships/hyperlink" Target="https://nextcity.org/daily/entry/why-history-matters-in-equitable-development-planning" TargetMode="External"/><Relationship Id="rId23" Type="http://schemas.openxmlformats.org/officeDocument/2006/relationships/hyperlink" Target="https://www.curbed.com/2018/7/17/17581456/park-high-line-606-affordable-housing-develop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ve-learn-sustain.gatech.edu/teaching-toolkit?field_testing_tid=All&amp;field_tool_type_tid=All&amp;field_time_commitment_tid=All&amp;field_big_idea_tid=119" TargetMode="External"/><Relationship Id="rId26" Type="http://schemas.openxmlformats.org/officeDocument/2006/relationships/header" Target="header1.xml"/><Relationship Id="rId25" Type="http://schemas.openxmlformats.org/officeDocument/2006/relationships/hyperlink" Target="https://www.urban.org/sites/default/files/publication/99850/equitable_development_and_urban_park_space_1.pdf" TargetMode="Externa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footer" Target="footer2.xml"/><Relationship Id="rId7" Type="http://schemas.openxmlformats.org/officeDocument/2006/relationships/hyperlink" Target="http://serve-learn-sustain.gatech.edu/big-idea/social-and-environmental-determinants-health" TargetMode="External"/><Relationship Id="rId8" Type="http://schemas.openxmlformats.org/officeDocument/2006/relationships/hyperlink" Target="https://serve-learn-sustain.gatech.edu/teaching-toolkit?field_testing_tid=All&amp;field_tool_type_tid=All&amp;field_time_commitment_tid=All&amp;field_big_idea_tid=112" TargetMode="External"/><Relationship Id="rId11" Type="http://schemas.openxmlformats.org/officeDocument/2006/relationships/hyperlink" Target="https://serve-learn-sustain.gatech.edu/teaching-toolkit?field_testing_tid=All&amp;field_tool_type_tid=All&amp;field_time_commitment_tid=All&amp;field_big_idea_tid=129" TargetMode="External"/><Relationship Id="rId10" Type="http://schemas.openxmlformats.org/officeDocument/2006/relationships/hyperlink" Target="https://serve-learn-sustain.gatech.edu/teaching-toolkit?field_testing_tid=All&amp;field_tool_type_tid=All&amp;field_time_commitment_tid=All&amp;field_big_idea_tid=130" TargetMode="External"/><Relationship Id="rId13" Type="http://schemas.openxmlformats.org/officeDocument/2006/relationships/hyperlink" Target="http://serve-learn-sustain.gatech.edu/big-idea/inequality-poverty-and-sustainable-development" TargetMode="External"/><Relationship Id="rId12" Type="http://schemas.openxmlformats.org/officeDocument/2006/relationships/hyperlink" Target="https://serve-learn-sustain.gatech.edu/teaching-toolkit?field_testing_tid=All&amp;field_tool_type_tid=All&amp;field_time_commitment_tid=All&amp;field_big_idea_tid=126" TargetMode="External"/><Relationship Id="rId15" Type="http://schemas.openxmlformats.org/officeDocument/2006/relationships/hyperlink" Target="http://serve-learn-sustain.gatech.edu/tool-category/assessment" TargetMode="External"/><Relationship Id="rId14" Type="http://schemas.openxmlformats.org/officeDocument/2006/relationships/hyperlink" Target="https://serve-learn-sustain.gatech.edu/teaching-toolkit?field_testing_tid=All&amp;field_tool_type_tid=All&amp;field_time_commitment_tid=All&amp;field_big_idea_tid=117" TargetMode="External"/><Relationship Id="rId17" Type="http://schemas.openxmlformats.org/officeDocument/2006/relationships/image" Target="media/image4.png"/><Relationship Id="rId16" Type="http://schemas.openxmlformats.org/officeDocument/2006/relationships/hyperlink" Target="https://serve-learn-sustain.gatech.edu/teaching-toolkit?field_testing_tid=174&amp;field_tool_type_tid=All&amp;field_time_commitment_tid=All&amp;field_big_idea_tid=All" TargetMode="External"/><Relationship Id="rId19" Type="http://schemas.openxmlformats.org/officeDocument/2006/relationships/hyperlink" Target="http://caeau.com.ar/wp-content/uploads/2018/11/46.GREEN-INFRAESTRUCTURE.pdf" TargetMode="External"/><Relationship Id="rId1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