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52F6" w14:textId="70631F63" w:rsidR="00451D15" w:rsidRDefault="009707BC" w:rsidP="00182E67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182E67">
        <w:rPr>
          <w:rFonts w:ascii="Cambria" w:eastAsia="Cambria" w:hAnsi="Cambria" w:cs="Cambria"/>
          <w:b/>
          <w:bCs/>
          <w:sz w:val="28"/>
          <w:szCs w:val="28"/>
        </w:rPr>
        <w:t xml:space="preserve">Resources for </w:t>
      </w:r>
      <w:r w:rsidR="001F1B70" w:rsidRPr="00182E67">
        <w:rPr>
          <w:rFonts w:ascii="Cambria" w:eastAsia="Cambria" w:hAnsi="Cambria" w:cs="Cambria"/>
          <w:b/>
          <w:bCs/>
          <w:sz w:val="28"/>
          <w:szCs w:val="28"/>
        </w:rPr>
        <w:t>Incorporating</w:t>
      </w:r>
      <w:r w:rsidRPr="00182E67">
        <w:rPr>
          <w:rFonts w:ascii="Cambria" w:eastAsia="Cambria" w:hAnsi="Cambria" w:cs="Cambria"/>
          <w:b/>
          <w:bCs/>
          <w:sz w:val="28"/>
          <w:szCs w:val="28"/>
        </w:rPr>
        <w:t xml:space="preserve"> SDG-related Instruction</w:t>
      </w:r>
      <w:r w:rsidR="00BF399A">
        <w:rPr>
          <w:rFonts w:ascii="Cambria" w:eastAsia="Cambria" w:hAnsi="Cambria" w:cs="Cambria"/>
          <w:b/>
          <w:bCs/>
          <w:sz w:val="28"/>
          <w:szCs w:val="28"/>
        </w:rPr>
        <w:t xml:space="preserve"> into Courses</w:t>
      </w:r>
    </w:p>
    <w:p w14:paraId="2D6185BB" w14:textId="77777777" w:rsidR="0044382A" w:rsidRPr="0044382A" w:rsidRDefault="0044382A" w:rsidP="00182E67">
      <w:pPr>
        <w:jc w:val="center"/>
        <w:rPr>
          <w:rFonts w:ascii="Cambria" w:eastAsia="Cambria" w:hAnsi="Cambria" w:cs="Cambria"/>
          <w:b/>
          <w:bCs/>
          <w:sz w:val="16"/>
          <w:szCs w:val="16"/>
        </w:rPr>
      </w:pPr>
    </w:p>
    <w:p w14:paraId="0EAC92E4" w14:textId="64B966DE" w:rsidR="00451D15" w:rsidRDefault="00451D15" w:rsidP="00CE247F">
      <w:pPr>
        <w:jc w:val="center"/>
        <w:rPr>
          <w:rFonts w:ascii="Cambria" w:eastAsia="Cambria" w:hAnsi="Cambria" w:cs="Cambria"/>
          <w:b/>
          <w:sz w:val="24"/>
          <w:szCs w:val="24"/>
        </w:rPr>
      </w:pPr>
      <w:r w:rsidRPr="00451D15">
        <w:rPr>
          <w:rFonts w:ascii="Cambria" w:eastAsia="Cambria" w:hAnsi="Cambria" w:cs="Cambria"/>
          <w:b/>
          <w:noProof/>
          <w:sz w:val="24"/>
          <w:szCs w:val="24"/>
        </w:rPr>
        <w:drawing>
          <wp:inline distT="0" distB="0" distL="0" distR="0" wp14:anchorId="20F20358" wp14:editId="034FE6A8">
            <wp:extent cx="3251200" cy="1914594"/>
            <wp:effectExtent l="0" t="0" r="6350" b="9525"/>
            <wp:docPr id="1" name="Picture 1" descr="Volunteerism and the Global Goals | U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nteerism and the Global Goals | UN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93" cy="194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7" w14:textId="77777777" w:rsidR="00C24B43" w:rsidRPr="00A722C0" w:rsidRDefault="00C24B43">
      <w:pPr>
        <w:rPr>
          <w:rFonts w:ascii="Cambria" w:eastAsia="Cambria" w:hAnsi="Cambria" w:cs="Cambria"/>
          <w:sz w:val="16"/>
          <w:szCs w:val="16"/>
        </w:rPr>
      </w:pPr>
    </w:p>
    <w:p w14:paraId="0DB45B64" w14:textId="423C1A9D" w:rsidR="001141D7" w:rsidRPr="00CE247F" w:rsidRDefault="001141D7" w:rsidP="0014705A">
      <w:pPr>
        <w:spacing w:after="120"/>
        <w:rPr>
          <w:rFonts w:ascii="Cambria" w:eastAsia="Cambria" w:hAnsi="Cambria" w:cs="Cambria"/>
          <w:b/>
          <w:bCs/>
          <w:sz w:val="24"/>
          <w:szCs w:val="24"/>
        </w:rPr>
      </w:pPr>
      <w:r w:rsidRPr="00CE247F">
        <w:rPr>
          <w:rFonts w:ascii="Cambria" w:eastAsia="Cambria" w:hAnsi="Cambria" w:cs="Cambria"/>
          <w:b/>
          <w:bCs/>
          <w:sz w:val="24"/>
          <w:szCs w:val="24"/>
        </w:rPr>
        <w:t xml:space="preserve">Examples of activities and </w:t>
      </w:r>
      <w:r w:rsidR="0088110B">
        <w:rPr>
          <w:rFonts w:ascii="Cambria" w:eastAsia="Cambria" w:hAnsi="Cambria" w:cs="Cambria"/>
          <w:b/>
          <w:bCs/>
          <w:sz w:val="24"/>
          <w:szCs w:val="24"/>
        </w:rPr>
        <w:t>extension ideas</w:t>
      </w:r>
      <w:r w:rsidRPr="00CE247F"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14:paraId="18713D83" w14:textId="7DFB52BF" w:rsidR="00E97FD0" w:rsidRDefault="00601DD0" w:rsidP="0015258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Several</w:t>
      </w:r>
      <w:r w:rsidR="001141D7">
        <w:rPr>
          <w:rFonts w:ascii="Cambria" w:eastAsia="Cambria" w:hAnsi="Cambria" w:cs="Cambria"/>
          <w:sz w:val="24"/>
          <w:szCs w:val="24"/>
        </w:rPr>
        <w:t xml:space="preserve"> of the resources shared in Resources on Teaching with the SDGs provide example</w:t>
      </w:r>
      <w:r>
        <w:rPr>
          <w:rFonts w:ascii="Cambria" w:eastAsia="Cambria" w:hAnsi="Cambria" w:cs="Cambria"/>
          <w:sz w:val="24"/>
          <w:szCs w:val="24"/>
        </w:rPr>
        <w:t>s</w:t>
      </w:r>
      <w:r w:rsidR="001141D7">
        <w:rPr>
          <w:rFonts w:ascii="Cambria" w:eastAsia="Cambria" w:hAnsi="Cambria" w:cs="Cambria"/>
          <w:sz w:val="24"/>
          <w:szCs w:val="24"/>
        </w:rPr>
        <w:t xml:space="preserve"> of activities related to specific SDGs. For example</w:t>
      </w:r>
      <w:r w:rsidR="00E97FD0">
        <w:rPr>
          <w:rFonts w:ascii="Cambria" w:eastAsia="Cambria" w:hAnsi="Cambria" w:cs="Cambria"/>
          <w:sz w:val="24"/>
          <w:szCs w:val="24"/>
        </w:rPr>
        <w:t>,</w:t>
      </w:r>
      <w:r w:rsidR="001141D7">
        <w:rPr>
          <w:rFonts w:ascii="Cambria" w:eastAsia="Cambria" w:hAnsi="Cambria" w:cs="Cambria"/>
          <w:sz w:val="24"/>
          <w:szCs w:val="24"/>
        </w:rPr>
        <w:t xml:space="preserve"> </w:t>
      </w:r>
      <w:r w:rsidR="00E97FD0">
        <w:rPr>
          <w:rFonts w:ascii="Cambria" w:eastAsia="Cambria" w:hAnsi="Cambria" w:cs="Cambria"/>
          <w:sz w:val="24"/>
          <w:szCs w:val="24"/>
        </w:rPr>
        <w:t xml:space="preserve">this UNESCO resource provides </w:t>
      </w:r>
      <w:r>
        <w:rPr>
          <w:rFonts w:ascii="Cambria" w:eastAsia="Cambria" w:hAnsi="Cambria" w:cs="Cambria"/>
          <w:sz w:val="24"/>
          <w:szCs w:val="24"/>
        </w:rPr>
        <w:t>ideas</w:t>
      </w:r>
      <w:r w:rsidR="00E97FD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 w:rsidR="00E97FD0">
        <w:rPr>
          <w:rFonts w:ascii="Cambria" w:eastAsia="Cambria" w:hAnsi="Cambria" w:cs="Cambria"/>
          <w:sz w:val="24"/>
          <w:szCs w:val="24"/>
        </w:rPr>
        <w:t xml:space="preserve"> “learning approaches and methods” </w:t>
      </w:r>
      <w:r>
        <w:rPr>
          <w:rFonts w:ascii="Cambria" w:eastAsia="Cambria" w:hAnsi="Cambria" w:cs="Cambria"/>
          <w:sz w:val="24"/>
          <w:szCs w:val="24"/>
        </w:rPr>
        <w:t>with respect to</w:t>
      </w:r>
      <w:r w:rsidR="00E97FD0">
        <w:rPr>
          <w:rFonts w:ascii="Cambria" w:eastAsia="Cambria" w:hAnsi="Cambria" w:cs="Cambria"/>
          <w:sz w:val="24"/>
          <w:szCs w:val="24"/>
        </w:rPr>
        <w:t xml:space="preserve"> each SDG. </w:t>
      </w:r>
      <w:r>
        <w:rPr>
          <w:rFonts w:ascii="Cambria" w:eastAsia="Cambria" w:hAnsi="Cambria" w:cs="Cambria"/>
          <w:sz w:val="24"/>
          <w:szCs w:val="24"/>
        </w:rPr>
        <w:t>To give you a sense of some of the suggested activities, h</w:t>
      </w:r>
      <w:r w:rsidR="00E97FD0">
        <w:rPr>
          <w:rFonts w:ascii="Cambria" w:eastAsia="Cambria" w:hAnsi="Cambria" w:cs="Cambria"/>
          <w:sz w:val="24"/>
          <w:szCs w:val="24"/>
        </w:rPr>
        <w:t xml:space="preserve">ere are </w:t>
      </w:r>
      <w:r>
        <w:rPr>
          <w:rFonts w:ascii="Cambria" w:eastAsia="Cambria" w:hAnsi="Cambria" w:cs="Cambria"/>
          <w:sz w:val="24"/>
          <w:szCs w:val="24"/>
        </w:rPr>
        <w:t>a few of the ideas</w:t>
      </w:r>
      <w:r w:rsidR="00E97FD0">
        <w:rPr>
          <w:rFonts w:ascii="Cambria" w:eastAsia="Cambria" w:hAnsi="Cambria" w:cs="Cambria"/>
          <w:sz w:val="24"/>
          <w:szCs w:val="24"/>
        </w:rPr>
        <w:t xml:space="preserve"> provided for SDG 6: Clean Water and Sanitation:</w:t>
      </w:r>
    </w:p>
    <w:p w14:paraId="26AA6EEF" w14:textId="18BA3A45" w:rsidR="00E97FD0" w:rsidRDefault="00E97FD0" w:rsidP="00E97FD0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iCs/>
          <w:sz w:val="24"/>
          <w:szCs w:val="24"/>
        </w:rPr>
      </w:pPr>
      <w:r w:rsidRPr="00E97FD0">
        <w:rPr>
          <w:rFonts w:ascii="Cambria" w:eastAsia="Cambria" w:hAnsi="Cambria" w:cs="Cambria"/>
          <w:iCs/>
          <w:sz w:val="24"/>
          <w:szCs w:val="24"/>
        </w:rPr>
        <w:t xml:space="preserve">Calculate one’s own </w:t>
      </w:r>
      <w:hyperlink r:id="rId6" w:history="1">
        <w:r w:rsidRPr="00E97FD0">
          <w:rPr>
            <w:rStyle w:val="Hyperlink"/>
            <w:rFonts w:ascii="Cambria" w:eastAsia="Cambria" w:hAnsi="Cambria" w:cs="Cambria"/>
            <w:iCs/>
            <w:sz w:val="24"/>
            <w:szCs w:val="24"/>
          </w:rPr>
          <w:t>water footprint</w:t>
        </w:r>
      </w:hyperlink>
      <w:r w:rsidRPr="00E97FD0">
        <w:rPr>
          <w:rFonts w:ascii="Cambria" w:eastAsia="Cambria" w:hAnsi="Cambria" w:cs="Cambria"/>
          <w:iCs/>
          <w:sz w:val="24"/>
          <w:szCs w:val="24"/>
        </w:rPr>
        <w:t xml:space="preserve"> (WF)</w:t>
      </w:r>
    </w:p>
    <w:p w14:paraId="753ED520" w14:textId="1BCA1E38" w:rsidR="00E97FD0" w:rsidRDefault="00E97FD0" w:rsidP="00E97FD0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iCs/>
          <w:sz w:val="24"/>
          <w:szCs w:val="24"/>
        </w:rPr>
      </w:pPr>
      <w:r w:rsidRPr="00E97FD0">
        <w:rPr>
          <w:rFonts w:ascii="Cambria" w:eastAsia="Cambria" w:hAnsi="Cambria" w:cs="Cambria"/>
          <w:iCs/>
          <w:sz w:val="24"/>
          <w:szCs w:val="24"/>
        </w:rPr>
        <w:t xml:space="preserve">Develop a </w:t>
      </w:r>
      <w:r>
        <w:rPr>
          <w:rFonts w:ascii="Cambria" w:eastAsia="Cambria" w:hAnsi="Cambria" w:cs="Cambria"/>
          <w:iCs/>
          <w:sz w:val="24"/>
          <w:szCs w:val="24"/>
        </w:rPr>
        <w:t xml:space="preserve">local plan 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for sustainable water use and supply based on success stories </w:t>
      </w:r>
      <w:r>
        <w:rPr>
          <w:rFonts w:ascii="Cambria" w:eastAsia="Cambria" w:hAnsi="Cambria" w:cs="Cambria"/>
          <w:iCs/>
          <w:sz w:val="24"/>
          <w:szCs w:val="24"/>
        </w:rPr>
        <w:t>(see case study section, below)</w:t>
      </w:r>
    </w:p>
    <w:p w14:paraId="112C53C1" w14:textId="5BA5F789" w:rsidR="00E97FD0" w:rsidRDefault="003E385C" w:rsidP="00E97FD0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 xml:space="preserve">Explore </w:t>
      </w:r>
      <w:r w:rsidR="00E97FD0">
        <w:rPr>
          <w:rFonts w:ascii="Cambria" w:eastAsia="Cambria" w:hAnsi="Cambria" w:cs="Cambria"/>
          <w:iCs/>
          <w:sz w:val="24"/>
          <w:szCs w:val="24"/>
        </w:rPr>
        <w:t xml:space="preserve">sites of </w:t>
      </w:r>
      <w:r w:rsidR="00E97FD0" w:rsidRPr="00E97FD0">
        <w:rPr>
          <w:rFonts w:ascii="Cambria" w:eastAsia="Cambria" w:hAnsi="Cambria" w:cs="Cambria"/>
          <w:iCs/>
          <w:sz w:val="24"/>
          <w:szCs w:val="24"/>
        </w:rPr>
        <w:t xml:space="preserve">local water </w:t>
      </w:r>
      <w:proofErr w:type="gramStart"/>
      <w:r w:rsidR="00E97FD0" w:rsidRPr="00E97FD0">
        <w:rPr>
          <w:rFonts w:ascii="Cambria" w:eastAsia="Cambria" w:hAnsi="Cambria" w:cs="Cambria"/>
          <w:iCs/>
          <w:sz w:val="24"/>
          <w:szCs w:val="24"/>
        </w:rPr>
        <w:t>infrastructure</w:t>
      </w:r>
      <w:proofErr w:type="gramEnd"/>
    </w:p>
    <w:p w14:paraId="490A3F5D" w14:textId="6A55ECA4" w:rsidR="00E97FD0" w:rsidRDefault="00E97FD0" w:rsidP="00E97FD0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iCs/>
          <w:sz w:val="24"/>
          <w:szCs w:val="24"/>
        </w:rPr>
      </w:pPr>
      <w:r w:rsidRPr="00E97FD0">
        <w:rPr>
          <w:rFonts w:ascii="Cambria" w:eastAsia="Cambria" w:hAnsi="Cambria" w:cs="Cambria"/>
          <w:iCs/>
          <w:sz w:val="24"/>
          <w:szCs w:val="24"/>
        </w:rPr>
        <w:t xml:space="preserve">Plan and </w:t>
      </w:r>
      <w:r w:rsidR="00055E86">
        <w:rPr>
          <w:rFonts w:ascii="Cambria" w:eastAsia="Cambria" w:hAnsi="Cambria" w:cs="Cambria"/>
          <w:iCs/>
          <w:sz w:val="24"/>
          <w:szCs w:val="24"/>
        </w:rPr>
        <w:t>develop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 an </w:t>
      </w:r>
      <w:r w:rsidR="00055E86">
        <w:rPr>
          <w:rFonts w:ascii="Cambria" w:eastAsia="Cambria" w:hAnsi="Cambria" w:cs="Cambria"/>
          <w:iCs/>
          <w:sz w:val="24"/>
          <w:szCs w:val="24"/>
        </w:rPr>
        <w:t>online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 action project </w:t>
      </w:r>
      <w:r w:rsidR="00055E86">
        <w:rPr>
          <w:rFonts w:ascii="Cambria" w:eastAsia="Cambria" w:hAnsi="Cambria" w:cs="Cambria"/>
          <w:iCs/>
          <w:sz w:val="24"/>
          <w:szCs w:val="24"/>
        </w:rPr>
        <w:t xml:space="preserve">related to water quality </w:t>
      </w:r>
      <w:r w:rsidR="0014705A">
        <w:rPr>
          <w:rFonts w:ascii="Cambria" w:eastAsia="Cambria" w:hAnsi="Cambria" w:cs="Cambria"/>
          <w:iCs/>
          <w:sz w:val="24"/>
          <w:szCs w:val="24"/>
        </w:rPr>
        <w:t xml:space="preserve">and/or collaborate with a local organization to test water </w:t>
      </w:r>
      <w:proofErr w:type="gramStart"/>
      <w:r w:rsidR="0014705A">
        <w:rPr>
          <w:rFonts w:ascii="Cambria" w:eastAsia="Cambria" w:hAnsi="Cambria" w:cs="Cambria"/>
          <w:iCs/>
          <w:sz w:val="24"/>
          <w:szCs w:val="24"/>
        </w:rPr>
        <w:t>samples</w:t>
      </w:r>
      <w:proofErr w:type="gramEnd"/>
    </w:p>
    <w:p w14:paraId="33EEACCA" w14:textId="02F256BE" w:rsidR="00490081" w:rsidRPr="00E97FD0" w:rsidRDefault="00E97FD0" w:rsidP="008958A6">
      <w:pPr>
        <w:pStyle w:val="ListParagraph"/>
        <w:numPr>
          <w:ilvl w:val="0"/>
          <w:numId w:val="5"/>
        </w:numPr>
        <w:spacing w:after="240"/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>Identify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 </w:t>
      </w:r>
      <w:r>
        <w:rPr>
          <w:rFonts w:ascii="Cambria" w:eastAsia="Cambria" w:hAnsi="Cambria" w:cs="Cambria"/>
          <w:iCs/>
          <w:sz w:val="24"/>
          <w:szCs w:val="24"/>
        </w:rPr>
        <w:t>“</w:t>
      </w:r>
      <w:r w:rsidRPr="00E97FD0">
        <w:rPr>
          <w:rFonts w:ascii="Cambria" w:eastAsia="Cambria" w:hAnsi="Cambria" w:cs="Cambria"/>
          <w:iCs/>
          <w:sz w:val="24"/>
          <w:szCs w:val="24"/>
        </w:rPr>
        <w:t>invisible water</w:t>
      </w:r>
      <w:r>
        <w:rPr>
          <w:rFonts w:ascii="Cambria" w:eastAsia="Cambria" w:hAnsi="Cambria" w:cs="Cambria"/>
          <w:iCs/>
          <w:sz w:val="24"/>
          <w:szCs w:val="24"/>
        </w:rPr>
        <w:t>”,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 </w:t>
      </w:r>
      <w:proofErr w:type="gramStart"/>
      <w:r w:rsidRPr="00E97FD0">
        <w:rPr>
          <w:rFonts w:ascii="Cambria" w:eastAsia="Cambria" w:hAnsi="Cambria" w:cs="Cambria"/>
          <w:iCs/>
          <w:sz w:val="24"/>
          <w:szCs w:val="24"/>
        </w:rPr>
        <w:t>e.g.</w:t>
      </w:r>
      <w:proofErr w:type="gramEnd"/>
      <w:r w:rsidRPr="00E97FD0">
        <w:rPr>
          <w:rFonts w:ascii="Cambria" w:eastAsia="Cambria" w:hAnsi="Cambria" w:cs="Cambria"/>
          <w:iCs/>
          <w:sz w:val="24"/>
          <w:szCs w:val="24"/>
        </w:rPr>
        <w:t xml:space="preserve"> how much water </w:t>
      </w:r>
      <w:r w:rsidR="00F01776">
        <w:rPr>
          <w:rFonts w:ascii="Cambria" w:eastAsia="Cambria" w:hAnsi="Cambria" w:cs="Cambria"/>
          <w:iCs/>
          <w:sz w:val="24"/>
          <w:szCs w:val="24"/>
        </w:rPr>
        <w:t>is required to make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 a </w:t>
      </w:r>
      <w:r w:rsidR="00F01776">
        <w:rPr>
          <w:rFonts w:ascii="Cambria" w:eastAsia="Cambria" w:hAnsi="Cambria" w:cs="Cambria"/>
          <w:iCs/>
          <w:sz w:val="24"/>
          <w:szCs w:val="24"/>
        </w:rPr>
        <w:t>bottle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 of beer, a </w:t>
      </w:r>
      <w:r w:rsidR="00F01776">
        <w:rPr>
          <w:rFonts w:ascii="Cambria" w:eastAsia="Cambria" w:hAnsi="Cambria" w:cs="Cambria"/>
          <w:iCs/>
          <w:sz w:val="24"/>
          <w:szCs w:val="24"/>
        </w:rPr>
        <w:t>pound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 of beef, a t</w:t>
      </w:r>
      <w:r>
        <w:rPr>
          <w:rFonts w:ascii="Cambria" w:eastAsia="Cambria" w:hAnsi="Cambria" w:cs="Cambria"/>
          <w:iCs/>
          <w:sz w:val="24"/>
          <w:szCs w:val="24"/>
        </w:rPr>
        <w:t>-</w:t>
      </w:r>
      <w:r w:rsidRPr="00E97FD0">
        <w:rPr>
          <w:rFonts w:ascii="Cambria" w:eastAsia="Cambria" w:hAnsi="Cambria" w:cs="Cambria"/>
          <w:iCs/>
          <w:sz w:val="24"/>
          <w:szCs w:val="24"/>
        </w:rPr>
        <w:t xml:space="preserve">shirt, etc. </w:t>
      </w:r>
    </w:p>
    <w:p w14:paraId="47C5DE23" w14:textId="16D5D4AD" w:rsidR="00106D37" w:rsidRDefault="00BF399A" w:rsidP="008F42E4">
      <w:pPr>
        <w:spacing w:after="120"/>
        <w:rPr>
          <w:rFonts w:ascii="Cambria" w:eastAsia="Cambria" w:hAnsi="Cambria" w:cs="Cambria"/>
          <w:sz w:val="24"/>
          <w:szCs w:val="24"/>
        </w:rPr>
      </w:pPr>
      <w:hyperlink r:id="rId7" w:history="1">
        <w:r w:rsidR="00106D37" w:rsidRPr="00106D37">
          <w:rPr>
            <w:rStyle w:val="Hyperlink"/>
            <w:rFonts w:ascii="Cambria" w:eastAsia="Cambria" w:hAnsi="Cambria" w:cs="Cambria"/>
            <w:sz w:val="24"/>
            <w:szCs w:val="24"/>
          </w:rPr>
          <w:t>Sustainable Foundations: A Guide to Teaching the SDGs</w:t>
        </w:r>
      </w:hyperlink>
      <w:r w:rsidR="00106D37">
        <w:rPr>
          <w:rFonts w:ascii="Cambria" w:eastAsia="Cambria" w:hAnsi="Cambria" w:cs="Cambria"/>
          <w:sz w:val="24"/>
          <w:szCs w:val="24"/>
        </w:rPr>
        <w:t xml:space="preserve"> also provides links to suggested activities and case studies for each SDG. </w:t>
      </w:r>
    </w:p>
    <w:p w14:paraId="3778D779" w14:textId="672521C9" w:rsidR="00106D37" w:rsidRDefault="0088110B" w:rsidP="008958A6">
      <w:pPr>
        <w:spacing w:after="2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</w:t>
      </w:r>
      <w:hyperlink r:id="rId8" w:history="1">
        <w:proofErr w:type="gramStart"/>
        <w:r w:rsidRPr="0088110B">
          <w:rPr>
            <w:rStyle w:val="Hyperlink"/>
            <w:rFonts w:ascii="Cambria" w:eastAsia="Cambria" w:hAnsi="Cambria" w:cs="Cambria"/>
            <w:sz w:val="24"/>
            <w:szCs w:val="24"/>
          </w:rPr>
          <w:t>Take Action</w:t>
        </w:r>
        <w:proofErr w:type="gramEnd"/>
        <w:r w:rsidRPr="0088110B">
          <w:rPr>
            <w:rStyle w:val="Hyperlink"/>
            <w:rFonts w:ascii="Cambria" w:eastAsia="Cambria" w:hAnsi="Cambria" w:cs="Cambria"/>
            <w:sz w:val="24"/>
            <w:szCs w:val="24"/>
          </w:rPr>
          <w:t xml:space="preserve"> for the SDGs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  <w:r w:rsidR="00FF593A">
        <w:rPr>
          <w:rFonts w:ascii="Cambria" w:eastAsia="Cambria" w:hAnsi="Cambria" w:cs="Cambria"/>
          <w:sz w:val="24"/>
          <w:szCs w:val="24"/>
        </w:rPr>
        <w:t>web site</w:t>
      </w:r>
      <w:r>
        <w:rPr>
          <w:rFonts w:ascii="Cambria" w:eastAsia="Cambria" w:hAnsi="Cambria" w:cs="Cambria"/>
          <w:sz w:val="24"/>
          <w:szCs w:val="24"/>
        </w:rPr>
        <w:t xml:space="preserve"> has further information organized by SDG. Click on the SDG of interest and you will find infographics, </w:t>
      </w:r>
      <w:r w:rsidR="004639E4">
        <w:rPr>
          <w:rFonts w:ascii="Cambria" w:eastAsia="Cambria" w:hAnsi="Cambria" w:cs="Cambria"/>
          <w:sz w:val="24"/>
          <w:szCs w:val="24"/>
        </w:rPr>
        <w:t xml:space="preserve">COVID-19 connections, </w:t>
      </w:r>
      <w:r>
        <w:rPr>
          <w:rFonts w:ascii="Cambria" w:eastAsia="Cambria" w:hAnsi="Cambria" w:cs="Cambria"/>
          <w:sz w:val="24"/>
          <w:szCs w:val="24"/>
        </w:rPr>
        <w:t>videos, facts and figures, relevant news articles, and</w:t>
      </w:r>
      <w:r w:rsidR="004639E4">
        <w:rPr>
          <w:rFonts w:ascii="Cambria" w:eastAsia="Cambria" w:hAnsi="Cambria" w:cs="Cambria"/>
          <w:sz w:val="24"/>
          <w:szCs w:val="24"/>
        </w:rPr>
        <w:t xml:space="preserve"> more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1D80BB42" w14:textId="543993DE" w:rsidR="002C0821" w:rsidRPr="0014705A" w:rsidRDefault="002C0821" w:rsidP="0014705A">
      <w:pPr>
        <w:spacing w:after="120"/>
        <w:rPr>
          <w:rFonts w:ascii="Cambria" w:eastAsia="Cambria" w:hAnsi="Cambria" w:cs="Cambria"/>
          <w:b/>
          <w:bCs/>
          <w:iCs/>
          <w:sz w:val="24"/>
          <w:szCs w:val="24"/>
        </w:rPr>
      </w:pPr>
      <w:r w:rsidRPr="00F01776">
        <w:rPr>
          <w:rFonts w:ascii="Cambria" w:eastAsia="Cambria" w:hAnsi="Cambria" w:cs="Cambria"/>
          <w:b/>
          <w:bCs/>
          <w:iCs/>
          <w:sz w:val="24"/>
          <w:szCs w:val="24"/>
        </w:rPr>
        <w:t>Case Studies</w:t>
      </w:r>
    </w:p>
    <w:p w14:paraId="0359E033" w14:textId="4931CE89" w:rsidR="00FD2030" w:rsidRDefault="00823CE7" w:rsidP="0014705A">
      <w:pPr>
        <w:spacing w:after="120"/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 xml:space="preserve">Using case studies in SDG education can help </w:t>
      </w:r>
      <w:r w:rsidR="00FD2030">
        <w:rPr>
          <w:rFonts w:ascii="Cambria" w:eastAsia="Cambria" w:hAnsi="Cambria" w:cs="Cambria"/>
          <w:iCs/>
          <w:sz w:val="24"/>
          <w:szCs w:val="24"/>
        </w:rPr>
        <w:t>bring</w:t>
      </w:r>
      <w:r>
        <w:rPr>
          <w:rFonts w:ascii="Cambria" w:eastAsia="Cambria" w:hAnsi="Cambria" w:cs="Cambria"/>
          <w:iCs/>
          <w:sz w:val="24"/>
          <w:szCs w:val="24"/>
        </w:rPr>
        <w:t xml:space="preserve"> </w:t>
      </w:r>
      <w:r w:rsidR="00FD2030">
        <w:rPr>
          <w:rFonts w:ascii="Cambria" w:eastAsia="Cambria" w:hAnsi="Cambria" w:cs="Cambria"/>
          <w:iCs/>
          <w:sz w:val="24"/>
          <w:szCs w:val="24"/>
        </w:rPr>
        <w:t xml:space="preserve">the </w:t>
      </w:r>
      <w:r>
        <w:rPr>
          <w:rFonts w:ascii="Cambria" w:eastAsia="Cambria" w:hAnsi="Cambria" w:cs="Cambria"/>
          <w:iCs/>
          <w:sz w:val="24"/>
          <w:szCs w:val="24"/>
        </w:rPr>
        <w:t>co</w:t>
      </w:r>
      <w:r w:rsidR="00FD2030">
        <w:rPr>
          <w:rFonts w:ascii="Cambria" w:eastAsia="Cambria" w:hAnsi="Cambria" w:cs="Cambria"/>
          <w:iCs/>
          <w:sz w:val="24"/>
          <w:szCs w:val="24"/>
        </w:rPr>
        <w:t>mplex, global challenges described in the SDGs “down to earth” for students. Case studies also provide a great way to link local and global initiatives</w:t>
      </w:r>
      <w:r w:rsidR="00601DD0">
        <w:rPr>
          <w:rFonts w:ascii="Cambria" w:eastAsia="Cambria" w:hAnsi="Cambria" w:cs="Cambria"/>
          <w:iCs/>
          <w:sz w:val="24"/>
          <w:szCs w:val="24"/>
        </w:rPr>
        <w:t xml:space="preserve"> and</w:t>
      </w:r>
      <w:r w:rsidR="00FD2030">
        <w:rPr>
          <w:rFonts w:ascii="Cambria" w:eastAsia="Cambria" w:hAnsi="Cambria" w:cs="Cambria"/>
          <w:iCs/>
          <w:sz w:val="24"/>
          <w:szCs w:val="24"/>
        </w:rPr>
        <w:t xml:space="preserve"> help students identify connections across regions</w:t>
      </w:r>
      <w:r w:rsidR="00601DD0">
        <w:rPr>
          <w:rFonts w:ascii="Cambria" w:eastAsia="Cambria" w:hAnsi="Cambria" w:cs="Cambria"/>
          <w:iCs/>
          <w:sz w:val="24"/>
          <w:szCs w:val="24"/>
        </w:rPr>
        <w:t>. Case studies also can</w:t>
      </w:r>
      <w:r w:rsidR="00FD2030">
        <w:rPr>
          <w:rFonts w:ascii="Cambria" w:eastAsia="Cambria" w:hAnsi="Cambria" w:cs="Cambria"/>
          <w:iCs/>
          <w:sz w:val="24"/>
          <w:szCs w:val="24"/>
        </w:rPr>
        <w:t xml:space="preserve"> </w:t>
      </w:r>
      <w:r w:rsidR="00601DD0">
        <w:rPr>
          <w:rFonts w:ascii="Cambria" w:eastAsia="Cambria" w:hAnsi="Cambria" w:cs="Cambria"/>
          <w:iCs/>
          <w:sz w:val="24"/>
          <w:szCs w:val="24"/>
        </w:rPr>
        <w:t>support student understanding of</w:t>
      </w:r>
      <w:r w:rsidR="00FD2030">
        <w:rPr>
          <w:rFonts w:ascii="Cambria" w:eastAsia="Cambria" w:hAnsi="Cambria" w:cs="Cambria"/>
          <w:iCs/>
          <w:sz w:val="24"/>
          <w:szCs w:val="24"/>
        </w:rPr>
        <w:t xml:space="preserve"> local, regional, and international forms of organization and governance that are critical to meeting SDG targets.</w:t>
      </w:r>
    </w:p>
    <w:p w14:paraId="14C4D545" w14:textId="3411ECBD" w:rsidR="00FD2030" w:rsidRDefault="00FD2030" w:rsidP="0014705A">
      <w:pPr>
        <w:spacing w:after="120"/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lastRenderedPageBreak/>
        <w:t xml:space="preserve">There are several </w:t>
      </w:r>
      <w:r w:rsidR="00601DD0">
        <w:rPr>
          <w:rFonts w:ascii="Cambria" w:eastAsia="Cambria" w:hAnsi="Cambria" w:cs="Cambria"/>
          <w:iCs/>
          <w:sz w:val="24"/>
          <w:szCs w:val="24"/>
        </w:rPr>
        <w:t xml:space="preserve">helpful </w:t>
      </w:r>
      <w:r>
        <w:rPr>
          <w:rFonts w:ascii="Cambria" w:eastAsia="Cambria" w:hAnsi="Cambria" w:cs="Cambria"/>
          <w:iCs/>
          <w:sz w:val="24"/>
          <w:szCs w:val="24"/>
        </w:rPr>
        <w:t>online sources for global case stud</w:t>
      </w:r>
      <w:r w:rsidR="00601DD0">
        <w:rPr>
          <w:rFonts w:ascii="Cambria" w:eastAsia="Cambria" w:hAnsi="Cambria" w:cs="Cambria"/>
          <w:iCs/>
          <w:sz w:val="24"/>
          <w:szCs w:val="24"/>
        </w:rPr>
        <w:t>ies</w:t>
      </w:r>
      <w:r>
        <w:rPr>
          <w:rFonts w:ascii="Cambria" w:eastAsia="Cambria" w:hAnsi="Cambria" w:cs="Cambria"/>
          <w:iCs/>
          <w:sz w:val="24"/>
          <w:szCs w:val="24"/>
        </w:rPr>
        <w:t xml:space="preserve"> linked to one or more SDG</w:t>
      </w:r>
      <w:r w:rsidR="005C4DEE">
        <w:rPr>
          <w:rFonts w:ascii="Cambria" w:eastAsia="Cambria" w:hAnsi="Cambria" w:cs="Cambria"/>
          <w:iCs/>
          <w:sz w:val="24"/>
          <w:szCs w:val="24"/>
        </w:rPr>
        <w:t>s. Browse through these resources to identify cases linked to the learning objectives you have developed for your course</w:t>
      </w:r>
      <w:r w:rsidR="005D125E">
        <w:rPr>
          <w:rFonts w:ascii="Cambria" w:eastAsia="Cambria" w:hAnsi="Cambria" w:cs="Cambria"/>
          <w:iCs/>
          <w:sz w:val="24"/>
          <w:szCs w:val="24"/>
        </w:rPr>
        <w:t>:</w:t>
      </w:r>
    </w:p>
    <w:p w14:paraId="4394DA7A" w14:textId="254CE1BE" w:rsidR="00FD2030" w:rsidRDefault="00BF399A" w:rsidP="00116481">
      <w:pPr>
        <w:spacing w:after="60"/>
        <w:ind w:left="720"/>
        <w:rPr>
          <w:rFonts w:ascii="Cambria" w:eastAsia="Cambria" w:hAnsi="Cambria" w:cs="Cambria"/>
          <w:iCs/>
          <w:sz w:val="24"/>
          <w:szCs w:val="24"/>
        </w:rPr>
      </w:pPr>
      <w:hyperlink r:id="rId9" w:history="1">
        <w:r w:rsidR="00565024" w:rsidRPr="00565024">
          <w:rPr>
            <w:rStyle w:val="Hyperlink"/>
            <w:rFonts w:ascii="Cambria" w:eastAsia="Cambria" w:hAnsi="Cambria" w:cs="Cambria"/>
            <w:iCs/>
            <w:sz w:val="24"/>
            <w:szCs w:val="24"/>
          </w:rPr>
          <w:t>The Sustainable Development Goals Fund: Case Studies – Achieving SDGs</w:t>
        </w:r>
      </w:hyperlink>
    </w:p>
    <w:p w14:paraId="117D0B1C" w14:textId="5989E0D3" w:rsidR="00565024" w:rsidRDefault="00BF399A" w:rsidP="00116481">
      <w:pPr>
        <w:spacing w:after="60"/>
        <w:ind w:left="720"/>
        <w:rPr>
          <w:rFonts w:ascii="Cambria" w:eastAsia="Cambria" w:hAnsi="Cambria" w:cs="Cambria"/>
          <w:iCs/>
          <w:sz w:val="24"/>
          <w:szCs w:val="24"/>
        </w:rPr>
      </w:pPr>
      <w:hyperlink r:id="rId10" w:history="1">
        <w:r w:rsidR="00E21F4C" w:rsidRPr="00E21F4C">
          <w:rPr>
            <w:rStyle w:val="Hyperlink"/>
            <w:rFonts w:ascii="Cambria" w:eastAsia="Cambria" w:hAnsi="Cambria" w:cs="Cambria"/>
            <w:iCs/>
            <w:sz w:val="24"/>
            <w:szCs w:val="24"/>
          </w:rPr>
          <w:t>Sustainable Development Goals: Case Studies</w:t>
        </w:r>
      </w:hyperlink>
    </w:p>
    <w:p w14:paraId="2C9BF8F6" w14:textId="0AE2F344" w:rsidR="00FD2030" w:rsidRDefault="00BF399A" w:rsidP="00116481">
      <w:pPr>
        <w:spacing w:after="240"/>
        <w:ind w:left="720"/>
        <w:rPr>
          <w:rFonts w:ascii="Cambria" w:eastAsia="Cambria" w:hAnsi="Cambria" w:cs="Cambria"/>
          <w:iCs/>
          <w:sz w:val="24"/>
          <w:szCs w:val="24"/>
        </w:rPr>
      </w:pPr>
      <w:hyperlink r:id="rId11" w:history="1">
        <w:r w:rsidR="000F0A33" w:rsidRPr="000F0A33">
          <w:rPr>
            <w:rStyle w:val="Hyperlink"/>
            <w:rFonts w:ascii="Cambria" w:eastAsia="Cambria" w:hAnsi="Cambria" w:cs="Cambria"/>
            <w:iCs/>
            <w:sz w:val="24"/>
            <w:szCs w:val="24"/>
          </w:rPr>
          <w:t>UNECE Case Studies</w:t>
        </w:r>
      </w:hyperlink>
      <w:r w:rsidR="000F0A33">
        <w:rPr>
          <w:rFonts w:ascii="Cambria" w:eastAsia="Cambria" w:hAnsi="Cambria" w:cs="Cambria"/>
          <w:iCs/>
          <w:sz w:val="24"/>
          <w:szCs w:val="24"/>
        </w:rPr>
        <w:t xml:space="preserve"> aligned with standards for meeting SDG targets (may be most useful for business, economics, and policy courses)</w:t>
      </w:r>
    </w:p>
    <w:p w14:paraId="0134BE3A" w14:textId="3EFE4F77" w:rsidR="0030608E" w:rsidRDefault="0030608E" w:rsidP="00402FC2">
      <w:pPr>
        <w:spacing w:after="120"/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 xml:space="preserve">In addition, the </w:t>
      </w:r>
      <w:hyperlink r:id="rId12" w:history="1">
        <w:r w:rsidRPr="0030608E">
          <w:rPr>
            <w:rStyle w:val="Hyperlink"/>
            <w:rFonts w:ascii="Cambria" w:eastAsia="Cambria" w:hAnsi="Cambria" w:cs="Cambria"/>
            <w:iCs/>
            <w:sz w:val="24"/>
            <w:szCs w:val="24"/>
          </w:rPr>
          <w:t>SLS Teaching Toolkit</w:t>
        </w:r>
      </w:hyperlink>
      <w:r>
        <w:rPr>
          <w:rFonts w:ascii="Cambria" w:eastAsia="Cambria" w:hAnsi="Cambria" w:cs="Cambria"/>
          <w:iCs/>
          <w:sz w:val="24"/>
          <w:szCs w:val="24"/>
        </w:rPr>
        <w:t xml:space="preserve"> includes </w:t>
      </w:r>
      <w:r w:rsidR="00C76BDF">
        <w:rPr>
          <w:rFonts w:ascii="Cambria" w:eastAsia="Cambria" w:hAnsi="Cambria" w:cs="Cambria"/>
          <w:iCs/>
          <w:sz w:val="24"/>
          <w:szCs w:val="24"/>
        </w:rPr>
        <w:t>this</w:t>
      </w:r>
      <w:r>
        <w:rPr>
          <w:rFonts w:ascii="Cambria" w:eastAsia="Cambria" w:hAnsi="Cambria" w:cs="Cambria"/>
          <w:iCs/>
          <w:sz w:val="24"/>
          <w:szCs w:val="24"/>
        </w:rPr>
        <w:t xml:space="preserve"> case stud</w:t>
      </w:r>
      <w:r w:rsidR="00C76BDF">
        <w:rPr>
          <w:rFonts w:ascii="Cambria" w:eastAsia="Cambria" w:hAnsi="Cambria" w:cs="Cambria"/>
          <w:iCs/>
          <w:sz w:val="24"/>
          <w:szCs w:val="24"/>
        </w:rPr>
        <w:t>y-based tool</w:t>
      </w:r>
      <w:r>
        <w:rPr>
          <w:rFonts w:ascii="Cambria" w:eastAsia="Cambria" w:hAnsi="Cambria" w:cs="Cambria"/>
          <w:iCs/>
          <w:sz w:val="24"/>
          <w:szCs w:val="24"/>
        </w:rPr>
        <w:t xml:space="preserve"> </w:t>
      </w:r>
      <w:r w:rsidR="009C3ECB">
        <w:rPr>
          <w:rFonts w:ascii="Cambria" w:eastAsia="Cambria" w:hAnsi="Cambria" w:cs="Cambria"/>
          <w:iCs/>
          <w:sz w:val="24"/>
          <w:szCs w:val="24"/>
        </w:rPr>
        <w:t>that make</w:t>
      </w:r>
      <w:r w:rsidR="00C76BDF">
        <w:rPr>
          <w:rFonts w:ascii="Cambria" w:eastAsia="Cambria" w:hAnsi="Cambria" w:cs="Cambria"/>
          <w:iCs/>
          <w:sz w:val="24"/>
          <w:szCs w:val="24"/>
        </w:rPr>
        <w:t>s</w:t>
      </w:r>
      <w:r w:rsidR="009C3ECB">
        <w:rPr>
          <w:rFonts w:ascii="Cambria" w:eastAsia="Cambria" w:hAnsi="Cambria" w:cs="Cambria"/>
          <w:iCs/>
          <w:sz w:val="24"/>
          <w:szCs w:val="24"/>
        </w:rPr>
        <w:t xml:space="preserve"> </w:t>
      </w:r>
      <w:r w:rsidR="00C76BDF">
        <w:rPr>
          <w:rFonts w:ascii="Cambria" w:eastAsia="Cambria" w:hAnsi="Cambria" w:cs="Cambria"/>
          <w:iCs/>
          <w:sz w:val="24"/>
          <w:szCs w:val="24"/>
        </w:rPr>
        <w:t xml:space="preserve">a </w:t>
      </w:r>
      <w:r w:rsidR="009C3ECB">
        <w:rPr>
          <w:rFonts w:ascii="Cambria" w:eastAsia="Cambria" w:hAnsi="Cambria" w:cs="Cambria"/>
          <w:iCs/>
          <w:sz w:val="24"/>
          <w:szCs w:val="24"/>
        </w:rPr>
        <w:t>direct connection</w:t>
      </w:r>
      <w:r>
        <w:rPr>
          <w:rFonts w:ascii="Cambria" w:eastAsia="Cambria" w:hAnsi="Cambria" w:cs="Cambria"/>
          <w:iCs/>
          <w:sz w:val="24"/>
          <w:szCs w:val="24"/>
        </w:rPr>
        <w:t xml:space="preserve"> to SDG</w:t>
      </w:r>
      <w:r w:rsidR="00C76BDF">
        <w:rPr>
          <w:rFonts w:ascii="Cambria" w:eastAsia="Cambria" w:hAnsi="Cambria" w:cs="Cambria"/>
          <w:iCs/>
          <w:sz w:val="24"/>
          <w:szCs w:val="24"/>
        </w:rPr>
        <w:t xml:space="preserve"> 11</w:t>
      </w:r>
      <w:r>
        <w:rPr>
          <w:rFonts w:ascii="Cambria" w:eastAsia="Cambria" w:hAnsi="Cambria" w:cs="Cambria"/>
          <w:iCs/>
          <w:sz w:val="24"/>
          <w:szCs w:val="24"/>
        </w:rPr>
        <w:t>:</w:t>
      </w:r>
    </w:p>
    <w:p w14:paraId="45D572DB" w14:textId="1C44B53F" w:rsidR="0030608E" w:rsidRDefault="00BF399A" w:rsidP="0030608E">
      <w:pPr>
        <w:ind w:firstLine="720"/>
        <w:rPr>
          <w:rFonts w:ascii="Cambria" w:eastAsia="Cambria" w:hAnsi="Cambria" w:cs="Cambria"/>
          <w:iCs/>
          <w:sz w:val="24"/>
          <w:szCs w:val="24"/>
        </w:rPr>
      </w:pPr>
      <w:hyperlink r:id="rId13" w:history="1">
        <w:r w:rsidR="0030608E" w:rsidRPr="0030608E">
          <w:rPr>
            <w:rStyle w:val="Hyperlink"/>
            <w:rFonts w:ascii="Cambria" w:eastAsia="Cambria" w:hAnsi="Cambria" w:cs="Cambria"/>
            <w:iCs/>
            <w:sz w:val="24"/>
            <w:szCs w:val="24"/>
          </w:rPr>
          <w:t xml:space="preserve">Sustainable </w:t>
        </w:r>
        <w:r w:rsidR="00C76BDF">
          <w:rPr>
            <w:rStyle w:val="Hyperlink"/>
            <w:rFonts w:ascii="Cambria" w:eastAsia="Cambria" w:hAnsi="Cambria" w:cs="Cambria"/>
            <w:iCs/>
            <w:sz w:val="24"/>
            <w:szCs w:val="24"/>
          </w:rPr>
          <w:t>C</w:t>
        </w:r>
        <w:r w:rsidR="0030608E" w:rsidRPr="0030608E">
          <w:rPr>
            <w:rStyle w:val="Hyperlink"/>
            <w:rFonts w:ascii="Cambria" w:eastAsia="Cambria" w:hAnsi="Cambria" w:cs="Cambria"/>
            <w:iCs/>
            <w:sz w:val="24"/>
            <w:szCs w:val="24"/>
          </w:rPr>
          <w:t>ities and Communities: SDG 11</w:t>
        </w:r>
      </w:hyperlink>
    </w:p>
    <w:p w14:paraId="198D97D0" w14:textId="6805B6D0" w:rsidR="0030608E" w:rsidRDefault="0030608E">
      <w:pPr>
        <w:rPr>
          <w:rFonts w:ascii="Cambria" w:eastAsia="Cambria" w:hAnsi="Cambria" w:cs="Cambria"/>
          <w:iCs/>
          <w:sz w:val="24"/>
          <w:szCs w:val="24"/>
        </w:rPr>
      </w:pPr>
    </w:p>
    <w:p w14:paraId="17AB54F2" w14:textId="2BCD829E" w:rsidR="009C3ECB" w:rsidRDefault="00C76BDF" w:rsidP="004C1992">
      <w:pPr>
        <w:spacing w:after="120"/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>These a</w:t>
      </w:r>
      <w:r w:rsidR="009C3ECB">
        <w:rPr>
          <w:rFonts w:ascii="Cambria" w:eastAsia="Cambria" w:hAnsi="Cambria" w:cs="Cambria"/>
          <w:iCs/>
          <w:sz w:val="24"/>
          <w:szCs w:val="24"/>
        </w:rPr>
        <w:t>dditional SLS Teaching Tools do not specifically discuss the SDGs but provide case studies that could be easily connected to an SDG:</w:t>
      </w:r>
    </w:p>
    <w:p w14:paraId="7FD63476" w14:textId="6B9E4D4E" w:rsidR="009C3ECB" w:rsidRDefault="009C3ECB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ab/>
      </w:r>
      <w:hyperlink r:id="rId14" w:history="1">
        <w:r w:rsidRPr="009C3ECB">
          <w:rPr>
            <w:rStyle w:val="Hyperlink"/>
            <w:rFonts w:ascii="Cambria" w:eastAsia="Cambria" w:hAnsi="Cambria" w:cs="Cambria"/>
            <w:iCs/>
            <w:sz w:val="24"/>
            <w:szCs w:val="24"/>
          </w:rPr>
          <w:t>SLS Case Study: Edwards Aquifer</w:t>
        </w:r>
      </w:hyperlink>
      <w:r>
        <w:rPr>
          <w:rFonts w:ascii="Cambria" w:eastAsia="Cambria" w:hAnsi="Cambria" w:cs="Cambria"/>
          <w:iCs/>
          <w:sz w:val="24"/>
          <w:szCs w:val="24"/>
        </w:rPr>
        <w:t xml:space="preserve"> (SDGs 6, 14, and 15)</w:t>
      </w:r>
    </w:p>
    <w:p w14:paraId="33088845" w14:textId="5825B501" w:rsidR="00A50C77" w:rsidRDefault="00A50C77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ab/>
      </w:r>
      <w:hyperlink r:id="rId15" w:history="1">
        <w:r w:rsidRPr="00A50C77">
          <w:rPr>
            <w:rStyle w:val="Hyperlink"/>
            <w:rFonts w:ascii="Cambria" w:eastAsia="Cambria" w:hAnsi="Cambria" w:cs="Cambria"/>
            <w:iCs/>
            <w:sz w:val="24"/>
            <w:szCs w:val="24"/>
          </w:rPr>
          <w:t>SLS Case Study: Proctor Creek</w:t>
        </w:r>
      </w:hyperlink>
      <w:r>
        <w:rPr>
          <w:rFonts w:ascii="Cambria" w:eastAsia="Cambria" w:hAnsi="Cambria" w:cs="Cambria"/>
          <w:iCs/>
          <w:sz w:val="24"/>
          <w:szCs w:val="24"/>
        </w:rPr>
        <w:t xml:space="preserve"> (SDGs 6 and 10)</w:t>
      </w:r>
    </w:p>
    <w:p w14:paraId="399DC9E5" w14:textId="350081B2" w:rsidR="00B27098" w:rsidRDefault="00B27098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ab/>
      </w:r>
      <w:hyperlink r:id="rId16" w:history="1">
        <w:r w:rsidRPr="00B27098">
          <w:rPr>
            <w:rStyle w:val="Hyperlink"/>
            <w:rFonts w:ascii="Cambria" w:eastAsia="Cambria" w:hAnsi="Cambria" w:cs="Cambria"/>
            <w:iCs/>
            <w:sz w:val="24"/>
            <w:szCs w:val="24"/>
          </w:rPr>
          <w:t>SLS Case Study: The 1995 Chicago Heat Wave</w:t>
        </w:r>
      </w:hyperlink>
      <w:r>
        <w:rPr>
          <w:rFonts w:ascii="Cambria" w:eastAsia="Cambria" w:hAnsi="Cambria" w:cs="Cambria"/>
          <w:iCs/>
          <w:sz w:val="24"/>
          <w:szCs w:val="24"/>
        </w:rPr>
        <w:t xml:space="preserve"> (SDGs 10, 11, and 13)</w:t>
      </w:r>
    </w:p>
    <w:p w14:paraId="6F7C5EA1" w14:textId="1D27021C" w:rsidR="00CB41C7" w:rsidRDefault="00CB41C7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ab/>
      </w:r>
      <w:hyperlink r:id="rId17" w:history="1">
        <w:r w:rsidRPr="00CB41C7">
          <w:rPr>
            <w:rStyle w:val="Hyperlink"/>
            <w:rFonts w:ascii="Cambria" w:eastAsia="Cambria" w:hAnsi="Cambria" w:cs="Cambria"/>
            <w:iCs/>
            <w:sz w:val="24"/>
            <w:szCs w:val="24"/>
          </w:rPr>
          <w:t>ReGenesis Case Study: Chemical Safety and Ethics</w:t>
        </w:r>
      </w:hyperlink>
      <w:r>
        <w:rPr>
          <w:rFonts w:ascii="Cambria" w:eastAsia="Cambria" w:hAnsi="Cambria" w:cs="Cambria"/>
          <w:iCs/>
          <w:sz w:val="24"/>
          <w:szCs w:val="24"/>
        </w:rPr>
        <w:t xml:space="preserve"> (SDGs 3 and 12)</w:t>
      </w:r>
    </w:p>
    <w:p w14:paraId="7C88A0D8" w14:textId="68FAAAA6" w:rsidR="00883309" w:rsidRDefault="00883309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ab/>
      </w:r>
      <w:hyperlink r:id="rId18" w:history="1">
        <w:r w:rsidRPr="00883309">
          <w:rPr>
            <w:rStyle w:val="Hyperlink"/>
            <w:rFonts w:ascii="Cambria" w:eastAsia="Cambria" w:hAnsi="Cambria" w:cs="Cambria"/>
            <w:iCs/>
            <w:sz w:val="24"/>
            <w:szCs w:val="24"/>
          </w:rPr>
          <w:t>SLS Case Study: The Flint Water Crisis</w:t>
        </w:r>
      </w:hyperlink>
      <w:r>
        <w:rPr>
          <w:rFonts w:ascii="Cambria" w:eastAsia="Cambria" w:hAnsi="Cambria" w:cs="Cambria"/>
          <w:iCs/>
          <w:sz w:val="24"/>
          <w:szCs w:val="24"/>
        </w:rPr>
        <w:t xml:space="preserve"> (SDGs 3, 6 and 11)</w:t>
      </w:r>
    </w:p>
    <w:p w14:paraId="73718C1A" w14:textId="3375E7F6" w:rsidR="00AD3F8B" w:rsidRDefault="00BF399A" w:rsidP="00AD3F8B">
      <w:pPr>
        <w:ind w:firstLine="720"/>
        <w:rPr>
          <w:rFonts w:ascii="Cambria" w:eastAsia="Cambria" w:hAnsi="Cambria" w:cs="Cambria"/>
          <w:iCs/>
          <w:sz w:val="24"/>
          <w:szCs w:val="24"/>
        </w:rPr>
      </w:pPr>
      <w:hyperlink r:id="rId19" w:history="1">
        <w:r w:rsidR="00AD3F8B" w:rsidRPr="00AD3F8B">
          <w:rPr>
            <w:rStyle w:val="Hyperlink"/>
            <w:rFonts w:ascii="Cambria" w:eastAsia="Cambria" w:hAnsi="Cambria" w:cs="Cambria"/>
            <w:iCs/>
            <w:sz w:val="24"/>
            <w:szCs w:val="24"/>
          </w:rPr>
          <w:t>SLS Case Study: The Atlanta Beltline</w:t>
        </w:r>
      </w:hyperlink>
      <w:r w:rsidR="00AD3F8B">
        <w:rPr>
          <w:rFonts w:ascii="Cambria" w:eastAsia="Cambria" w:hAnsi="Cambria" w:cs="Cambria"/>
          <w:iCs/>
          <w:sz w:val="24"/>
          <w:szCs w:val="24"/>
        </w:rPr>
        <w:t xml:space="preserve"> (SDGs 10 and 11)</w:t>
      </w:r>
    </w:p>
    <w:p w14:paraId="4D509D0A" w14:textId="3681690D" w:rsidR="00E90287" w:rsidRDefault="00BF399A" w:rsidP="00AD3F8B">
      <w:pPr>
        <w:ind w:firstLine="720"/>
        <w:rPr>
          <w:rFonts w:ascii="Cambria" w:eastAsia="Cambria" w:hAnsi="Cambria" w:cs="Cambria"/>
          <w:iCs/>
          <w:sz w:val="24"/>
          <w:szCs w:val="24"/>
        </w:rPr>
      </w:pPr>
      <w:hyperlink r:id="rId20" w:history="1">
        <w:r w:rsidR="00E90287" w:rsidRPr="00E90287">
          <w:rPr>
            <w:rStyle w:val="Hyperlink"/>
            <w:rFonts w:ascii="Cambria" w:eastAsia="Cambria" w:hAnsi="Cambria" w:cs="Cambria"/>
            <w:iCs/>
            <w:sz w:val="24"/>
            <w:szCs w:val="24"/>
          </w:rPr>
          <w:t>Beyond the Haircut: A University Barbershop Case Study</w:t>
        </w:r>
      </w:hyperlink>
      <w:r w:rsidR="00E90287">
        <w:rPr>
          <w:rFonts w:ascii="Cambria" w:eastAsia="Cambria" w:hAnsi="Cambria" w:cs="Cambria"/>
          <w:iCs/>
          <w:sz w:val="24"/>
          <w:szCs w:val="24"/>
        </w:rPr>
        <w:t xml:space="preserve"> (SDGs 1 and 11)</w:t>
      </w:r>
    </w:p>
    <w:p w14:paraId="0AFCED66" w14:textId="549F5C3A" w:rsidR="009C3ECB" w:rsidRDefault="00BF399A" w:rsidP="0059168F">
      <w:pPr>
        <w:spacing w:after="240"/>
        <w:ind w:firstLine="720"/>
        <w:rPr>
          <w:rFonts w:ascii="Cambria" w:eastAsia="Cambria" w:hAnsi="Cambria" w:cs="Cambria"/>
          <w:iCs/>
          <w:sz w:val="24"/>
          <w:szCs w:val="24"/>
        </w:rPr>
      </w:pPr>
      <w:hyperlink r:id="rId21" w:history="1">
        <w:r w:rsidR="00DC7C3E" w:rsidRPr="00DC7C3E">
          <w:rPr>
            <w:rStyle w:val="Hyperlink"/>
            <w:rFonts w:ascii="Cambria" w:eastAsia="Cambria" w:hAnsi="Cambria" w:cs="Cambria"/>
            <w:iCs/>
            <w:sz w:val="24"/>
            <w:szCs w:val="24"/>
          </w:rPr>
          <w:t>SLS Resources: Multidisciplinary Case Studies</w:t>
        </w:r>
      </w:hyperlink>
      <w:r w:rsidR="00DC7C3E">
        <w:rPr>
          <w:rFonts w:ascii="Cambria" w:eastAsia="Cambria" w:hAnsi="Cambria" w:cs="Cambria"/>
          <w:iCs/>
          <w:sz w:val="24"/>
          <w:szCs w:val="24"/>
        </w:rPr>
        <w:t xml:space="preserve"> (most SDGs)</w:t>
      </w:r>
    </w:p>
    <w:p w14:paraId="0A0D3E96" w14:textId="027F7386" w:rsidR="00484754" w:rsidRDefault="002C0821" w:rsidP="004C1992">
      <w:pPr>
        <w:spacing w:after="120"/>
        <w:rPr>
          <w:rFonts w:ascii="Cambria" w:eastAsia="Cambria" w:hAnsi="Cambria" w:cs="Cambria"/>
          <w:b/>
          <w:bCs/>
          <w:iCs/>
          <w:sz w:val="24"/>
          <w:szCs w:val="24"/>
        </w:rPr>
      </w:pPr>
      <w:r w:rsidRPr="00F01776">
        <w:rPr>
          <w:rFonts w:ascii="Cambria" w:eastAsia="Cambria" w:hAnsi="Cambria" w:cs="Cambria"/>
          <w:b/>
          <w:bCs/>
          <w:iCs/>
          <w:sz w:val="24"/>
          <w:szCs w:val="24"/>
        </w:rPr>
        <w:t>Incorporating Service-Learning and Community Engagement (SLCE)</w:t>
      </w:r>
    </w:p>
    <w:p w14:paraId="65CE9B55" w14:textId="1D8D7979" w:rsidR="00AC1AC1" w:rsidRDefault="00484754" w:rsidP="0059168F">
      <w:pPr>
        <w:spacing w:after="240"/>
        <w:rPr>
          <w:rFonts w:ascii="Cambria" w:eastAsia="Cambria" w:hAnsi="Cambria" w:cs="Cambria"/>
          <w:iCs/>
          <w:sz w:val="24"/>
          <w:szCs w:val="24"/>
        </w:rPr>
      </w:pPr>
      <w:r w:rsidRPr="00484754">
        <w:rPr>
          <w:rFonts w:ascii="Cambria" w:eastAsia="Cambria" w:hAnsi="Cambria" w:cs="Cambria"/>
          <w:iCs/>
          <w:sz w:val="24"/>
          <w:szCs w:val="24"/>
        </w:rPr>
        <w:t xml:space="preserve">Experiential learning and, specifically, service-learning, </w:t>
      </w:r>
      <w:r w:rsidR="006C5A4A">
        <w:rPr>
          <w:rFonts w:ascii="Cambria" w:eastAsia="Cambria" w:hAnsi="Cambria" w:cs="Cambria"/>
          <w:iCs/>
          <w:sz w:val="24"/>
          <w:szCs w:val="24"/>
        </w:rPr>
        <w:t>can extend classroom discussions to the “real world,” expanding opportunities for</w:t>
      </w:r>
      <w:r>
        <w:rPr>
          <w:rFonts w:ascii="Cambria" w:eastAsia="Cambria" w:hAnsi="Cambria" w:cs="Cambria"/>
          <w:iCs/>
          <w:sz w:val="24"/>
          <w:szCs w:val="24"/>
        </w:rPr>
        <w:t xml:space="preserve"> </w:t>
      </w:r>
      <w:r w:rsidR="00E968EA">
        <w:rPr>
          <w:rFonts w:ascii="Cambria" w:eastAsia="Cambria" w:hAnsi="Cambria" w:cs="Cambria"/>
          <w:iCs/>
          <w:sz w:val="24"/>
          <w:szCs w:val="24"/>
        </w:rPr>
        <w:t>socio-emotional and behavioral learning relat</w:t>
      </w:r>
      <w:r w:rsidR="006C5A4A">
        <w:rPr>
          <w:rFonts w:ascii="Cambria" w:eastAsia="Cambria" w:hAnsi="Cambria" w:cs="Cambria"/>
          <w:iCs/>
          <w:sz w:val="24"/>
          <w:szCs w:val="24"/>
        </w:rPr>
        <w:t>ed</w:t>
      </w:r>
      <w:r w:rsidR="00E968EA">
        <w:rPr>
          <w:rFonts w:ascii="Cambria" w:eastAsia="Cambria" w:hAnsi="Cambria" w:cs="Cambria"/>
          <w:iCs/>
          <w:sz w:val="24"/>
          <w:szCs w:val="24"/>
        </w:rPr>
        <w:t xml:space="preserve"> to the SDGs. </w:t>
      </w:r>
      <w:r w:rsidR="006C5A4A">
        <w:rPr>
          <w:rFonts w:ascii="Cambria" w:eastAsia="Cambria" w:hAnsi="Cambria" w:cs="Cambria"/>
          <w:iCs/>
          <w:sz w:val="24"/>
          <w:szCs w:val="24"/>
        </w:rPr>
        <w:t xml:space="preserve">In addition, as the 2020 National Academies of Science report </w:t>
      </w:r>
      <w:hyperlink r:id="rId22" w:history="1">
        <w:r w:rsidR="006C5A4A" w:rsidRPr="006C5A4A">
          <w:rPr>
            <w:rStyle w:val="Hyperlink"/>
            <w:rFonts w:ascii="Cambria" w:eastAsia="Cambria" w:hAnsi="Cambria" w:cs="Cambria"/>
            <w:i/>
            <w:sz w:val="24"/>
            <w:szCs w:val="24"/>
          </w:rPr>
          <w:t>Strengthening Sustainability Programs and Curricula</w:t>
        </w:r>
        <w:r w:rsidR="006C5A4A" w:rsidRPr="006C5A4A">
          <w:rPr>
            <w:rStyle w:val="Hyperlink"/>
            <w:rFonts w:ascii="Cambria" w:eastAsia="Cambria" w:hAnsi="Cambria" w:cs="Cambria"/>
            <w:iCs/>
            <w:sz w:val="24"/>
            <w:szCs w:val="24"/>
          </w:rPr>
          <w:t xml:space="preserve"> </w:t>
        </w:r>
        <w:r w:rsidR="006C5A4A" w:rsidRPr="006C5A4A">
          <w:rPr>
            <w:rStyle w:val="Hyperlink"/>
            <w:rFonts w:ascii="Cambria" w:eastAsia="Cambria" w:hAnsi="Cambria" w:cs="Cambria"/>
            <w:i/>
            <w:sz w:val="24"/>
            <w:szCs w:val="24"/>
          </w:rPr>
          <w:t>at the Undergraduate and Graduate Levels</w:t>
        </w:r>
      </w:hyperlink>
      <w:r w:rsidR="006C5A4A">
        <w:rPr>
          <w:rFonts w:ascii="Cambria" w:eastAsia="Cambria" w:hAnsi="Cambria" w:cs="Cambria"/>
          <w:iCs/>
          <w:sz w:val="24"/>
          <w:szCs w:val="24"/>
        </w:rPr>
        <w:t xml:space="preserve"> notes, service-learning also can deepen student understanding of complex challenges such as climate action. </w:t>
      </w:r>
      <w:r w:rsidR="005479D6">
        <w:rPr>
          <w:rFonts w:ascii="Cambria" w:eastAsia="Cambria" w:hAnsi="Cambria" w:cs="Cambria"/>
          <w:iCs/>
          <w:sz w:val="24"/>
          <w:szCs w:val="24"/>
        </w:rPr>
        <w:t>SLS can help you identify appropriate community-based partners for course-based collaboration</w:t>
      </w:r>
      <w:r w:rsidR="003E3C80">
        <w:rPr>
          <w:rFonts w:ascii="Cambria" w:eastAsia="Cambria" w:hAnsi="Cambria" w:cs="Cambria"/>
          <w:iCs/>
          <w:sz w:val="24"/>
          <w:szCs w:val="24"/>
        </w:rPr>
        <w:t xml:space="preserve"> and design service-learning opportunities for your students</w:t>
      </w:r>
      <w:r w:rsidR="005479D6">
        <w:rPr>
          <w:rFonts w:ascii="Cambria" w:eastAsia="Cambria" w:hAnsi="Cambria" w:cs="Cambria"/>
          <w:iCs/>
          <w:sz w:val="24"/>
          <w:szCs w:val="24"/>
        </w:rPr>
        <w:t xml:space="preserve">. In addition, the SLS toolkit and SLS staff support student preparation for effective community partnerships. </w:t>
      </w:r>
      <w:r w:rsidR="00AC1AC1">
        <w:rPr>
          <w:rFonts w:ascii="Cambria" w:eastAsia="Cambria" w:hAnsi="Cambria" w:cs="Cambria"/>
          <w:iCs/>
          <w:sz w:val="24"/>
          <w:szCs w:val="24"/>
        </w:rPr>
        <w:t xml:space="preserve">Contact </w:t>
      </w:r>
      <w:hyperlink r:id="rId23" w:history="1">
        <w:r w:rsidR="00AC1AC1" w:rsidRPr="00E27C10">
          <w:rPr>
            <w:rStyle w:val="Hyperlink"/>
            <w:rFonts w:ascii="Cambria" w:eastAsia="Cambria" w:hAnsi="Cambria" w:cs="Cambria"/>
            <w:iCs/>
            <w:sz w:val="24"/>
            <w:szCs w:val="24"/>
          </w:rPr>
          <w:t>Ruthie Yow</w:t>
        </w:r>
      </w:hyperlink>
      <w:r w:rsidR="00AC1AC1">
        <w:rPr>
          <w:rFonts w:ascii="Cambria" w:eastAsia="Cambria" w:hAnsi="Cambria" w:cs="Cambria"/>
          <w:iCs/>
          <w:sz w:val="24"/>
          <w:szCs w:val="24"/>
        </w:rPr>
        <w:t xml:space="preserve"> or </w:t>
      </w:r>
      <w:hyperlink r:id="rId24" w:history="1">
        <w:r w:rsidR="00AC1AC1" w:rsidRPr="00E27C10">
          <w:rPr>
            <w:rStyle w:val="Hyperlink"/>
            <w:rFonts w:ascii="Cambria" w:eastAsia="Cambria" w:hAnsi="Cambria" w:cs="Cambria"/>
            <w:iCs/>
            <w:sz w:val="24"/>
            <w:szCs w:val="24"/>
          </w:rPr>
          <w:t>Rebecca Watts Hull</w:t>
        </w:r>
      </w:hyperlink>
      <w:r w:rsidR="00E27C10">
        <w:rPr>
          <w:rFonts w:ascii="Cambria" w:eastAsia="Cambria" w:hAnsi="Cambria" w:cs="Cambria"/>
          <w:iCs/>
          <w:sz w:val="24"/>
          <w:szCs w:val="24"/>
        </w:rPr>
        <w:t>, Service Learning and Partnership Specialists,</w:t>
      </w:r>
      <w:r w:rsidR="00AC1AC1">
        <w:rPr>
          <w:rFonts w:ascii="Cambria" w:eastAsia="Cambria" w:hAnsi="Cambria" w:cs="Cambria"/>
          <w:iCs/>
          <w:sz w:val="24"/>
          <w:szCs w:val="24"/>
        </w:rPr>
        <w:t xml:space="preserve"> to talk through </w:t>
      </w:r>
      <w:r w:rsidR="00D8096A">
        <w:rPr>
          <w:rFonts w:ascii="Cambria" w:eastAsia="Cambria" w:hAnsi="Cambria" w:cs="Cambria"/>
          <w:iCs/>
          <w:sz w:val="24"/>
          <w:szCs w:val="24"/>
        </w:rPr>
        <w:t>“SLCE”</w:t>
      </w:r>
      <w:r w:rsidR="00AC1AC1">
        <w:rPr>
          <w:rFonts w:ascii="Cambria" w:eastAsia="Cambria" w:hAnsi="Cambria" w:cs="Cambria"/>
          <w:iCs/>
          <w:sz w:val="24"/>
          <w:szCs w:val="24"/>
        </w:rPr>
        <w:t xml:space="preserve"> opportunities.</w:t>
      </w:r>
    </w:p>
    <w:p w14:paraId="1F6684BC" w14:textId="1E6535CC" w:rsidR="00B85A94" w:rsidRDefault="00B85A94" w:rsidP="0059168F">
      <w:pPr>
        <w:spacing w:after="120"/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>Related SLS Teaching Tools:</w:t>
      </w:r>
    </w:p>
    <w:p w14:paraId="5ECF906D" w14:textId="08F27537" w:rsidR="00B85A94" w:rsidRDefault="00BF399A" w:rsidP="005673AF">
      <w:pPr>
        <w:ind w:left="720"/>
        <w:rPr>
          <w:rFonts w:ascii="Cambria" w:eastAsia="Cambria" w:hAnsi="Cambria" w:cs="Cambria"/>
          <w:iCs/>
          <w:sz w:val="24"/>
          <w:szCs w:val="24"/>
        </w:rPr>
      </w:pPr>
      <w:hyperlink r:id="rId25" w:history="1">
        <w:r w:rsidR="005673AF" w:rsidRPr="005673AF">
          <w:rPr>
            <w:rStyle w:val="Hyperlink"/>
            <w:rFonts w:ascii="Cambria" w:eastAsia="Cambria" w:hAnsi="Cambria" w:cs="Cambria"/>
            <w:iCs/>
            <w:sz w:val="24"/>
            <w:szCs w:val="24"/>
          </w:rPr>
          <w:t>Community Engagement and Reflection Tool</w:t>
        </w:r>
      </w:hyperlink>
    </w:p>
    <w:p w14:paraId="58876B0A" w14:textId="6A4AD532" w:rsidR="005673AF" w:rsidRPr="00484754" w:rsidRDefault="00BF399A" w:rsidP="005673AF">
      <w:pPr>
        <w:ind w:left="720"/>
        <w:rPr>
          <w:rFonts w:ascii="Cambria" w:eastAsia="Cambria" w:hAnsi="Cambria" w:cs="Cambria"/>
          <w:iCs/>
          <w:sz w:val="24"/>
          <w:szCs w:val="24"/>
        </w:rPr>
      </w:pPr>
      <w:hyperlink r:id="rId26" w:history="1">
        <w:r w:rsidR="005673AF" w:rsidRPr="005673AF">
          <w:rPr>
            <w:rStyle w:val="Hyperlink"/>
            <w:rFonts w:ascii="Cambria" w:eastAsia="Cambria" w:hAnsi="Cambria" w:cs="Cambria"/>
            <w:iCs/>
            <w:sz w:val="24"/>
            <w:szCs w:val="24"/>
          </w:rPr>
          <w:t>Exploring Asset-Based Community Development: The Parkway Community</w:t>
        </w:r>
      </w:hyperlink>
    </w:p>
    <w:sectPr w:rsidR="005673AF" w:rsidRPr="004847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05F5"/>
    <w:multiLevelType w:val="multilevel"/>
    <w:tmpl w:val="687E0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E33E41"/>
    <w:multiLevelType w:val="multilevel"/>
    <w:tmpl w:val="0B680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B3022C"/>
    <w:multiLevelType w:val="hybridMultilevel"/>
    <w:tmpl w:val="08B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F7C52"/>
    <w:multiLevelType w:val="multilevel"/>
    <w:tmpl w:val="6900A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323483"/>
    <w:multiLevelType w:val="multilevel"/>
    <w:tmpl w:val="6C8A6A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43"/>
    <w:rsid w:val="00055E86"/>
    <w:rsid w:val="000F0A33"/>
    <w:rsid w:val="00106D37"/>
    <w:rsid w:val="001141D7"/>
    <w:rsid w:val="00116481"/>
    <w:rsid w:val="0014705A"/>
    <w:rsid w:val="0015258A"/>
    <w:rsid w:val="00182E67"/>
    <w:rsid w:val="001F1B70"/>
    <w:rsid w:val="002036A3"/>
    <w:rsid w:val="002C0821"/>
    <w:rsid w:val="0030608E"/>
    <w:rsid w:val="003B3312"/>
    <w:rsid w:val="003E385C"/>
    <w:rsid w:val="003E3C80"/>
    <w:rsid w:val="00402FC2"/>
    <w:rsid w:val="0044382A"/>
    <w:rsid w:val="004504A2"/>
    <w:rsid w:val="00451D15"/>
    <w:rsid w:val="004639E4"/>
    <w:rsid w:val="00484754"/>
    <w:rsid w:val="00490081"/>
    <w:rsid w:val="004B7BF5"/>
    <w:rsid w:val="004C1992"/>
    <w:rsid w:val="005479D6"/>
    <w:rsid w:val="0055043E"/>
    <w:rsid w:val="00565024"/>
    <w:rsid w:val="005673AF"/>
    <w:rsid w:val="0059168F"/>
    <w:rsid w:val="005C4DEE"/>
    <w:rsid w:val="005D125E"/>
    <w:rsid w:val="00601A4E"/>
    <w:rsid w:val="00601DD0"/>
    <w:rsid w:val="0062784A"/>
    <w:rsid w:val="006937DF"/>
    <w:rsid w:val="006A0733"/>
    <w:rsid w:val="006C5A4A"/>
    <w:rsid w:val="00776AFB"/>
    <w:rsid w:val="007C5852"/>
    <w:rsid w:val="00823CE7"/>
    <w:rsid w:val="0088110B"/>
    <w:rsid w:val="00883309"/>
    <w:rsid w:val="008958A6"/>
    <w:rsid w:val="008959ED"/>
    <w:rsid w:val="008F42E4"/>
    <w:rsid w:val="009707BC"/>
    <w:rsid w:val="009C3ECB"/>
    <w:rsid w:val="00A50C77"/>
    <w:rsid w:val="00A722C0"/>
    <w:rsid w:val="00AA77DC"/>
    <w:rsid w:val="00AC1AC1"/>
    <w:rsid w:val="00AD3F8B"/>
    <w:rsid w:val="00B27098"/>
    <w:rsid w:val="00B777E2"/>
    <w:rsid w:val="00B85A94"/>
    <w:rsid w:val="00BD2618"/>
    <w:rsid w:val="00BF399A"/>
    <w:rsid w:val="00C00007"/>
    <w:rsid w:val="00C24B43"/>
    <w:rsid w:val="00C76BDF"/>
    <w:rsid w:val="00CB41C7"/>
    <w:rsid w:val="00CE247F"/>
    <w:rsid w:val="00D31A1C"/>
    <w:rsid w:val="00D8096A"/>
    <w:rsid w:val="00D95E1B"/>
    <w:rsid w:val="00DC7C3E"/>
    <w:rsid w:val="00E21F4C"/>
    <w:rsid w:val="00E27C10"/>
    <w:rsid w:val="00E63B56"/>
    <w:rsid w:val="00E90287"/>
    <w:rsid w:val="00E968EA"/>
    <w:rsid w:val="00E97FD0"/>
    <w:rsid w:val="00F01776"/>
    <w:rsid w:val="00FD2030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1B2A"/>
  <w15:docId w15:val="{099B43B3-AD0A-4CAE-9298-B6350F1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525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0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sustainable-development-goals/" TargetMode="External"/><Relationship Id="rId13" Type="http://schemas.openxmlformats.org/officeDocument/2006/relationships/hyperlink" Target="https://serve-learn-sustain.gatech.edu/sustainable-cities-and-communities-sdg-11" TargetMode="External"/><Relationship Id="rId18" Type="http://schemas.openxmlformats.org/officeDocument/2006/relationships/hyperlink" Target="https://serve-learn-sustain.gatech.edu/sls-case-study-flint-water-crisis" TargetMode="External"/><Relationship Id="rId26" Type="http://schemas.openxmlformats.org/officeDocument/2006/relationships/hyperlink" Target="https://serve-learn-sustain.gatech.edu/exploring-asset-based-community-development-parkway-commun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rve-learn-sustain.gatech.edu/multidisciplinary-case-studies" TargetMode="External"/><Relationship Id="rId7" Type="http://schemas.openxmlformats.org/officeDocument/2006/relationships/hyperlink" Target="http://mcic.ca/uploads/public/files-sf/SF-Full-FINAL-WEB-ISBN-2021-EN.pdf" TargetMode="External"/><Relationship Id="rId12" Type="http://schemas.openxmlformats.org/officeDocument/2006/relationships/hyperlink" Target="https://serve-learn-sustain.gatech.edu/teaching-toolkit" TargetMode="External"/><Relationship Id="rId17" Type="http://schemas.openxmlformats.org/officeDocument/2006/relationships/hyperlink" Target="https://serve-learn-sustain.gatech.edu/regenesis-case-study-chemical-safety-ethics-relation-communities" TargetMode="External"/><Relationship Id="rId25" Type="http://schemas.openxmlformats.org/officeDocument/2006/relationships/hyperlink" Target="https://serve-learn-sustain.gatech.edu/community-engagement-preparation-and-reflection-t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e-learn-sustain.gatech.edu/sls-case-study-1995-chicago-heat-wave" TargetMode="External"/><Relationship Id="rId20" Type="http://schemas.openxmlformats.org/officeDocument/2006/relationships/hyperlink" Target="https://serve-learn-sustain.gatech.edu/beyond-haircut-university-barbershop-case-study-gt-busin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terfootprint.org/en/resources/interactive-tools/personal-water-footprint-calculator/" TargetMode="External"/><Relationship Id="rId11" Type="http://schemas.openxmlformats.org/officeDocument/2006/relationships/hyperlink" Target="https://standards4sdgs.unece.org/case-studies" TargetMode="External"/><Relationship Id="rId24" Type="http://schemas.openxmlformats.org/officeDocument/2006/relationships/hyperlink" Target="mailto:rwattshull@gatech.ed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erve-learn-sustain.gatech.edu/sls-case-study-proctor-creek" TargetMode="External"/><Relationship Id="rId23" Type="http://schemas.openxmlformats.org/officeDocument/2006/relationships/hyperlink" Target="mailto:ryow6@gatech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n.org/sustainabledevelopment/blog/tag/case-studies/" TargetMode="External"/><Relationship Id="rId19" Type="http://schemas.openxmlformats.org/officeDocument/2006/relationships/hyperlink" Target="https://serve-learn-sustain.gatech.edu/sls-case-study-atlanta-belt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gfund.org/case-studies" TargetMode="External"/><Relationship Id="rId14" Type="http://schemas.openxmlformats.org/officeDocument/2006/relationships/hyperlink" Target="https://serve-learn-sustain.gatech.edu/sls-case-study-edwards-aquifer" TargetMode="External"/><Relationship Id="rId22" Type="http://schemas.openxmlformats.org/officeDocument/2006/relationships/hyperlink" Target="https://www.nationalacademies.org/our-work/strengthening-sustainability-programs-and-curricula-at-the-undergraduate-and-graduate-leve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Rebecca Watts</dc:creator>
  <cp:lastModifiedBy>Hull, Rebecca Watts</cp:lastModifiedBy>
  <cp:revision>68</cp:revision>
  <dcterms:created xsi:type="dcterms:W3CDTF">2021-05-27T16:22:00Z</dcterms:created>
  <dcterms:modified xsi:type="dcterms:W3CDTF">2021-06-15T12:53:00Z</dcterms:modified>
</cp:coreProperties>
</file>