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221"/>
        <w:gridCol w:w="2390"/>
        <w:gridCol w:w="2325"/>
      </w:tblGrid>
      <w:tr w:rsidR="003066BD" w:rsidRPr="00FD76D5" w14:paraId="7002C261" w14:textId="77777777" w:rsidTr="003860B9">
        <w:trPr>
          <w:jc w:val="center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2C25F" w14:textId="77777777" w:rsidR="009302B8" w:rsidRPr="00FD76D5" w:rsidRDefault="009302B8" w:rsidP="009E637D">
            <w:pPr>
              <w:spacing w:before="240" w:after="24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514239835"/>
            <w:r w:rsidRPr="00FD76D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002C273" wp14:editId="7002C274">
                  <wp:extent cx="1030014" cy="866775"/>
                  <wp:effectExtent l="0" t="0" r="0" b="0"/>
                  <wp:docPr id="14" name="Picture 14" descr="C:\Users\bjaco\AppData\Local\Microsoft\Windows\INetCache\Content.Word\SLS-Teaching-Toolkit-Logo_Stacked-Initi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jaco\AppData\Local\Microsoft\Windows\INetCache\Content.Word\SLS-Teaching-Toolkit-Logo_Stacked-Initi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87" cy="87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2C260" w14:textId="7486F4C2" w:rsidR="009302B8" w:rsidRPr="00FD76D5" w:rsidRDefault="002A6ADF" w:rsidP="009E637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D76D5">
              <w:rPr>
                <w:rFonts w:asciiTheme="minorHAnsi" w:hAnsiTheme="minorHAnsi" w:cstheme="minorHAnsi"/>
                <w:b/>
                <w:bCs/>
                <w:szCs w:val="24"/>
              </w:rPr>
              <w:t>Building Power for Social Change</w:t>
            </w:r>
            <w:r w:rsidR="00C20A75" w:rsidRPr="00FD76D5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="00C20A75" w:rsidRPr="00FD76D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32F18" w:rsidRPr="00FD76D5">
              <w:rPr>
                <w:rFonts w:asciiTheme="minorHAnsi" w:hAnsiTheme="minorHAnsi" w:cstheme="minorHAnsi"/>
                <w:szCs w:val="24"/>
              </w:rPr>
              <w:t>An Introduct</w:t>
            </w:r>
            <w:r w:rsidR="00B27BD7" w:rsidRPr="00FD76D5">
              <w:rPr>
                <w:rFonts w:asciiTheme="minorHAnsi" w:hAnsiTheme="minorHAnsi" w:cstheme="minorHAnsi"/>
                <w:szCs w:val="24"/>
              </w:rPr>
              <w:t>ory Video for Students Across Disciplines</w:t>
            </w:r>
            <w:r w:rsidR="00432F18" w:rsidRPr="00FD76D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D76D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3066BD" w:rsidRPr="00FD76D5" w14:paraId="7002C266" w14:textId="77777777" w:rsidTr="003860B9">
        <w:trPr>
          <w:trHeight w:val="1068"/>
          <w:jc w:val="center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2C262" w14:textId="419B4FD7" w:rsidR="009238A2" w:rsidRPr="00FD76D5" w:rsidRDefault="009238A2" w:rsidP="009238A2">
            <w:pPr>
              <w:pStyle w:val="Box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>Discipline:</w:t>
            </w:r>
            <w:r w:rsidR="00EF2AA2"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</w:t>
            </w:r>
            <w:r w:rsidR="00EF2AA2" w:rsidRPr="00FD76D5">
              <w:rPr>
                <w:rFonts w:asciiTheme="minorHAnsi" w:hAnsiTheme="minorHAnsi" w:cstheme="minorHAnsi"/>
                <w:bCs/>
                <w:color w:val="auto"/>
                <w:sz w:val="24"/>
              </w:rPr>
              <w:t>all</w:t>
            </w:r>
            <w:r w:rsidRPr="00FD76D5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2C263" w14:textId="267FB15B" w:rsidR="009238A2" w:rsidRPr="00FD76D5" w:rsidRDefault="009238A2" w:rsidP="009238A2">
            <w:pPr>
              <w:pStyle w:val="Box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Type: </w:t>
            </w:r>
            <w:r w:rsidR="00EF2AA2" w:rsidRPr="00FD76D5">
              <w:rPr>
                <w:rFonts w:asciiTheme="minorHAnsi" w:hAnsiTheme="minorHAnsi" w:cstheme="minorHAnsi"/>
                <w:bCs/>
                <w:color w:val="auto"/>
                <w:sz w:val="24"/>
              </w:rPr>
              <w:t>Case Study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CC551" w14:textId="77777777" w:rsidR="009238A2" w:rsidRPr="00FD76D5" w:rsidRDefault="009238A2" w:rsidP="009238A2">
            <w:pPr>
              <w:pStyle w:val="Box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Time Commitment: </w:t>
            </w:r>
          </w:p>
          <w:p w14:paraId="7002C264" w14:textId="79DC2724" w:rsidR="00EF2AA2" w:rsidRPr="00FD76D5" w:rsidRDefault="00F2347D" w:rsidP="009238A2">
            <w:pPr>
              <w:pStyle w:val="Box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Cs/>
                <w:color w:val="auto"/>
                <w:sz w:val="24"/>
              </w:rPr>
              <w:t>30-75 minutes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2C265" w14:textId="3F090E31" w:rsidR="009238A2" w:rsidRPr="00FD76D5" w:rsidRDefault="009238A2" w:rsidP="009238A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D76D5">
              <w:rPr>
                <w:rFonts w:asciiTheme="minorHAnsi" w:hAnsiTheme="minorHAnsi" w:cstheme="minorHAnsi"/>
                <w:b/>
                <w:szCs w:val="24"/>
              </w:rPr>
              <w:t xml:space="preserve">Category: </w:t>
            </w:r>
            <w:r w:rsidR="00D033C3" w:rsidRPr="00FD76D5">
              <w:rPr>
                <w:rFonts w:asciiTheme="minorHAnsi" w:hAnsiTheme="minorHAnsi" w:cstheme="minorHAnsi"/>
                <w:bCs/>
                <w:szCs w:val="24"/>
              </w:rPr>
              <w:t>UN SDGs</w:t>
            </w:r>
            <w:r w:rsidR="0087628F" w:rsidRPr="00FD76D5">
              <w:rPr>
                <w:rFonts w:asciiTheme="minorHAnsi" w:hAnsiTheme="minorHAnsi" w:cstheme="minorHAnsi"/>
                <w:bCs/>
                <w:szCs w:val="24"/>
              </w:rPr>
              <w:t>, Case Studies, Sustainability in Atlanta</w:t>
            </w:r>
          </w:p>
        </w:tc>
      </w:tr>
      <w:tr w:rsidR="003066BD" w:rsidRPr="00FD76D5" w14:paraId="7002C26A" w14:textId="77777777" w:rsidTr="003860B9">
        <w:trPr>
          <w:trHeight w:val="422"/>
          <w:jc w:val="center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2C267" w14:textId="77777777" w:rsidR="009238A2" w:rsidRPr="00FD76D5" w:rsidRDefault="009238A2" w:rsidP="009238A2">
            <w:pPr>
              <w:pStyle w:val="Box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>OVERVIEW:</w:t>
            </w:r>
          </w:p>
          <w:p w14:paraId="7002C269" w14:textId="658AF3E4" w:rsidR="009238A2" w:rsidRPr="00E64382" w:rsidRDefault="00F2347D" w:rsidP="00E64382">
            <w:pPr>
              <w:spacing w:before="240" w:after="240" w:line="276" w:lineRule="auto"/>
              <w:rPr>
                <w:rFonts w:asciiTheme="minorHAnsi" w:eastAsia="Arial" w:hAnsiTheme="minorHAnsi" w:cstheme="minorHAnsi"/>
                <w:szCs w:val="24"/>
                <w:lang w:val="en"/>
              </w:rPr>
            </w:pPr>
            <w:r w:rsidRPr="00FD76D5">
              <w:rPr>
                <w:rFonts w:asciiTheme="minorHAnsi" w:eastAsia="Arial" w:hAnsiTheme="minorHAnsi" w:cstheme="minorHAnsi"/>
                <w:szCs w:val="24"/>
                <w:lang w:val="en"/>
              </w:rPr>
              <w:t>What is power? How can we work together to build power</w:t>
            </w:r>
            <w:r w:rsidR="005C5ED9">
              <w:rPr>
                <w:rFonts w:asciiTheme="minorHAnsi" w:eastAsia="Arial" w:hAnsiTheme="minorHAnsi" w:cstheme="minorHAnsi"/>
                <w:szCs w:val="24"/>
                <w:lang w:val="en"/>
              </w:rPr>
              <w:t>?</w:t>
            </w:r>
            <w:r w:rsidRPr="00FD76D5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 </w:t>
            </w:r>
            <w:r w:rsidR="005C5ED9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What are some of the strategies and </w:t>
            </w:r>
            <w:r w:rsidR="00CC2DD6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actions that change agents employ to build power and win change? This tool </w:t>
            </w:r>
            <w:r w:rsidR="00C11F20">
              <w:rPr>
                <w:rFonts w:asciiTheme="minorHAnsi" w:eastAsia="Arial" w:hAnsiTheme="minorHAnsi" w:cstheme="minorHAnsi"/>
                <w:szCs w:val="24"/>
                <w:lang w:val="en"/>
              </w:rPr>
              <w:t>introduces</w:t>
            </w:r>
            <w:r w:rsidR="00CC2DD6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 power and social change through a 15</w:t>
            </w:r>
            <w:r w:rsidR="00EE4460">
              <w:rPr>
                <w:rFonts w:asciiTheme="minorHAnsi" w:eastAsia="Arial" w:hAnsiTheme="minorHAnsi" w:cstheme="minorHAnsi"/>
                <w:szCs w:val="24"/>
                <w:lang w:val="en"/>
              </w:rPr>
              <w:t>-</w:t>
            </w:r>
            <w:r w:rsidR="00CC2DD6">
              <w:rPr>
                <w:rFonts w:asciiTheme="minorHAnsi" w:eastAsia="Arial" w:hAnsiTheme="minorHAnsi" w:cstheme="minorHAnsi"/>
                <w:szCs w:val="24"/>
                <w:lang w:val="en"/>
              </w:rPr>
              <w:t>minute video produced by Georgia Tech Sociology Professor Kate Pride Brown.</w:t>
            </w:r>
            <w:r w:rsidR="00EE4460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 It is intended for use across a wide range of disciplines</w:t>
            </w:r>
            <w:r w:rsidR="00E64382">
              <w:rPr>
                <w:rFonts w:asciiTheme="minorHAnsi" w:eastAsia="Arial" w:hAnsiTheme="minorHAnsi" w:cstheme="minorHAnsi"/>
                <w:szCs w:val="24"/>
                <w:lang w:val="en"/>
              </w:rPr>
              <w:t xml:space="preserve"> to help instructors empower students to respond constructively to the complex and often overwhelming social problems they explore in their classes.</w:t>
            </w:r>
          </w:p>
        </w:tc>
      </w:tr>
      <w:tr w:rsidR="003066BD" w:rsidRPr="00FD76D5" w14:paraId="7002C26D" w14:textId="77777777" w:rsidTr="003860B9">
        <w:trPr>
          <w:jc w:val="center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2C26B" w14:textId="77777777" w:rsidR="009238A2" w:rsidRPr="00FD76D5" w:rsidRDefault="009238A2" w:rsidP="00405D21">
            <w:pPr>
              <w:pStyle w:val="Box"/>
              <w:spacing w:after="12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INSTRUCTIONS: </w:t>
            </w:r>
          </w:p>
          <w:p w14:paraId="48953224" w14:textId="1C5FB8CA" w:rsidR="00214C06" w:rsidRDefault="00622EDA" w:rsidP="008847F6">
            <w:pPr>
              <w:pStyle w:val="Box"/>
              <w:spacing w:before="60" w:after="120"/>
              <w:rPr>
                <w:rFonts w:asciiTheme="minorHAnsi" w:hAnsiTheme="minorHAnsi" w:cstheme="minorHAnsi"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This teaching tool uses a </w:t>
            </w:r>
            <w:r w:rsidR="00C82E9F" w:rsidRPr="00FD76D5">
              <w:rPr>
                <w:rFonts w:asciiTheme="minorHAnsi" w:hAnsiTheme="minorHAnsi" w:cstheme="minorHAnsi"/>
                <w:color w:val="auto"/>
                <w:sz w:val="24"/>
              </w:rPr>
              <w:t>video</w:t>
            </w:r>
            <w:r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 to introduce students to </w:t>
            </w:r>
            <w:r w:rsidR="00C82E9F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key </w:t>
            </w:r>
            <w:r w:rsidR="004155C9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elements of </w:t>
            </w:r>
            <w:r w:rsidR="00C82E9F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building power to </w:t>
            </w:r>
            <w:r w:rsidR="00B811BB" w:rsidRPr="00FD76D5">
              <w:rPr>
                <w:rFonts w:asciiTheme="minorHAnsi" w:hAnsiTheme="minorHAnsi" w:cstheme="minorHAnsi"/>
                <w:color w:val="auto"/>
                <w:sz w:val="24"/>
              </w:rPr>
              <w:t>bring about change</w:t>
            </w:r>
            <w:r w:rsidR="004155C9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. </w:t>
            </w:r>
            <w:r w:rsidR="00B811BB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The video </w:t>
            </w:r>
            <w:r w:rsidR="00C11F20">
              <w:rPr>
                <w:rFonts w:asciiTheme="minorHAnsi" w:hAnsiTheme="minorHAnsi" w:cstheme="minorHAnsi"/>
                <w:color w:val="auto"/>
                <w:sz w:val="24"/>
              </w:rPr>
              <w:t>is organized into</w:t>
            </w:r>
            <w:r w:rsidR="00B811BB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 these segments: 1) What is </w:t>
            </w:r>
            <w:proofErr w:type="gramStart"/>
            <w:r w:rsidR="00B811BB" w:rsidRPr="00FD76D5">
              <w:rPr>
                <w:rFonts w:asciiTheme="minorHAnsi" w:hAnsiTheme="minorHAnsi" w:cstheme="minorHAnsi"/>
                <w:color w:val="auto"/>
                <w:sz w:val="24"/>
              </w:rPr>
              <w:t>Power?</w:t>
            </w:r>
            <w:r w:rsidR="00F72635" w:rsidRPr="00FD76D5">
              <w:rPr>
                <w:rFonts w:asciiTheme="minorHAnsi" w:hAnsiTheme="minorHAnsi" w:cstheme="minorHAnsi"/>
                <w:color w:val="auto"/>
                <w:sz w:val="24"/>
              </w:rPr>
              <w:t>;</w:t>
            </w:r>
            <w:proofErr w:type="gramEnd"/>
            <w:r w:rsidR="00F72635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 2) How Can I Build Power?</w:t>
            </w:r>
            <w:r w:rsidR="00357E4D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; </w:t>
            </w:r>
            <w:r w:rsidR="00F72635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3) </w:t>
            </w:r>
            <w:r w:rsidR="00E10DFE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What Can I Do?; and 4) </w:t>
            </w:r>
            <w:r w:rsidR="003538CF" w:rsidRPr="00FD76D5">
              <w:rPr>
                <w:rFonts w:asciiTheme="minorHAnsi" w:hAnsiTheme="minorHAnsi" w:cstheme="minorHAnsi"/>
                <w:color w:val="auto"/>
                <w:sz w:val="24"/>
              </w:rPr>
              <w:t>Change Doesn’t Happen Overnight.</w:t>
            </w:r>
            <w:r w:rsidR="00DA53A4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805EED" w:rsidRPr="00FD76D5">
              <w:rPr>
                <w:rFonts w:asciiTheme="minorHAnsi" w:hAnsiTheme="minorHAnsi" w:cstheme="minorHAnsi"/>
                <w:color w:val="auto"/>
                <w:sz w:val="24"/>
              </w:rPr>
              <w:t>This document includes instruct</w:t>
            </w:r>
            <w:r w:rsidR="00A75B3C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ions for instructors, </w:t>
            </w:r>
            <w:r w:rsidR="000C3751" w:rsidRPr="00FD76D5">
              <w:rPr>
                <w:rFonts w:asciiTheme="minorHAnsi" w:hAnsiTheme="minorHAnsi" w:cstheme="minorHAnsi"/>
                <w:color w:val="auto"/>
                <w:sz w:val="24"/>
              </w:rPr>
              <w:t>discussion questions</w:t>
            </w:r>
            <w:r w:rsidR="00DD1FF0">
              <w:rPr>
                <w:rFonts w:asciiTheme="minorHAnsi" w:hAnsiTheme="minorHAnsi" w:cstheme="minorHAnsi"/>
                <w:color w:val="auto"/>
                <w:sz w:val="24"/>
              </w:rPr>
              <w:t xml:space="preserve"> and sample activities</w:t>
            </w:r>
            <w:r w:rsidR="00A75B3C" w:rsidRPr="00FD76D5">
              <w:rPr>
                <w:rFonts w:asciiTheme="minorHAnsi" w:hAnsiTheme="minorHAnsi" w:cstheme="minorHAnsi"/>
                <w:color w:val="auto"/>
                <w:sz w:val="24"/>
              </w:rPr>
              <w:t xml:space="preserve">, and </w:t>
            </w:r>
            <w:r w:rsidR="00214C06" w:rsidRPr="00FD76D5">
              <w:rPr>
                <w:rFonts w:asciiTheme="minorHAnsi" w:hAnsiTheme="minorHAnsi" w:cstheme="minorHAnsi"/>
                <w:color w:val="auto"/>
                <w:sz w:val="24"/>
              </w:rPr>
              <w:t>suggestions for further reading.</w:t>
            </w:r>
            <w:r w:rsidR="005C5ED9">
              <w:rPr>
                <w:rFonts w:asciiTheme="minorHAnsi" w:hAnsiTheme="minorHAnsi" w:cstheme="minorHAnsi"/>
                <w:color w:val="auto"/>
                <w:sz w:val="24"/>
              </w:rPr>
              <w:t xml:space="preserve"> The video is stored in One Drive and linked in the instructions, below.</w:t>
            </w:r>
          </w:p>
          <w:p w14:paraId="7002C26C" w14:textId="206AC785" w:rsidR="00F24EFB" w:rsidRPr="00FD76D5" w:rsidRDefault="00F24EFB" w:rsidP="008847F6">
            <w:pPr>
              <w:pStyle w:val="Box"/>
              <w:spacing w:before="60" w:after="12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3066BD" w:rsidRPr="00FD76D5" w14:paraId="7002C271" w14:textId="77777777" w:rsidTr="003860B9">
        <w:trPr>
          <w:jc w:val="center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2C26E" w14:textId="565D2266" w:rsidR="009238A2" w:rsidRPr="00FD76D5" w:rsidRDefault="009238A2" w:rsidP="009238A2">
            <w:pPr>
              <w:pStyle w:val="Box"/>
              <w:spacing w:after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>STUDENT LEARNING OUTCOMES:</w:t>
            </w:r>
          </w:p>
          <w:p w14:paraId="7CE37117" w14:textId="66D1A708" w:rsidR="000C548B" w:rsidRPr="00FD76D5" w:rsidRDefault="00126420" w:rsidP="009238A2">
            <w:pPr>
              <w:pStyle w:val="Box"/>
              <w:spacing w:after="12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After completing this </w:t>
            </w:r>
            <w:r w:rsidR="00AA00C2"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teaching case assignment, </w:t>
            </w:r>
            <w:r w:rsidR="000C548B"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>student</w:t>
            </w:r>
            <w:r w:rsidR="0084515F"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>s</w:t>
            </w:r>
            <w:r w:rsidR="000C548B" w:rsidRPr="00FD76D5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will be able to:</w:t>
            </w:r>
          </w:p>
          <w:p w14:paraId="7B3BFD2A" w14:textId="7C53239D" w:rsidR="003D3712" w:rsidRPr="00FD76D5" w:rsidRDefault="00DC482B" w:rsidP="00AA00C2">
            <w:pPr>
              <w:pStyle w:val="Box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Identify an overarching vision and concrete “small win” </w:t>
            </w:r>
            <w:r w:rsidR="0035541C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that could </w:t>
            </w:r>
            <w:r w:rsidR="0043768C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help </w:t>
            </w:r>
            <w:r w:rsidR="0035541C">
              <w:rPr>
                <w:rFonts w:asciiTheme="minorHAnsi" w:hAnsiTheme="minorHAnsi" w:cstheme="minorHAnsi"/>
                <w:bCs/>
                <w:color w:val="auto"/>
                <w:sz w:val="24"/>
              </w:rPr>
              <w:t>guide a social movement.</w:t>
            </w:r>
          </w:p>
          <w:p w14:paraId="30DA3B1D" w14:textId="5CF4A357" w:rsidR="0035541C" w:rsidRDefault="0035541C" w:rsidP="00AA00C2">
            <w:pPr>
              <w:pStyle w:val="Box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</w:rPr>
              <w:t>Identify</w:t>
            </w:r>
            <w:r w:rsidRPr="0035541C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</w:t>
            </w:r>
            <w:r w:rsidR="00A97808">
              <w:rPr>
                <w:rFonts w:asciiTheme="minorHAnsi" w:hAnsiTheme="minorHAnsi" w:cstheme="minorHAnsi"/>
                <w:bCs/>
                <w:color w:val="auto"/>
                <w:sz w:val="24"/>
              </w:rPr>
              <w:t>several</w:t>
            </w:r>
            <w:r w:rsidRPr="0035541C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power-building strategies and tactics.</w:t>
            </w:r>
          </w:p>
          <w:p w14:paraId="2877F929" w14:textId="2874EFD8" w:rsidR="00177E21" w:rsidRDefault="00827898" w:rsidP="00827898">
            <w:pPr>
              <w:pStyle w:val="Box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</w:rPr>
              <w:t>P</w:t>
            </w:r>
            <w:r w:rsidRPr="00827898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rovide examples of </w:t>
            </w:r>
            <w:r w:rsidR="00A97808">
              <w:rPr>
                <w:rFonts w:asciiTheme="minorHAnsi" w:hAnsiTheme="minorHAnsi" w:cstheme="minorHAnsi"/>
                <w:bCs/>
                <w:color w:val="auto"/>
                <w:sz w:val="24"/>
              </w:rPr>
              <w:t>re</w:t>
            </w:r>
            <w:r w:rsidRPr="00827898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sources </w:t>
            </w:r>
            <w:r w:rsidR="00A97808">
              <w:rPr>
                <w:rFonts w:asciiTheme="minorHAnsi" w:hAnsiTheme="minorHAnsi" w:cstheme="minorHAnsi"/>
                <w:bCs/>
                <w:color w:val="auto"/>
                <w:sz w:val="24"/>
              </w:rPr>
              <w:t>change agents can</w:t>
            </w:r>
            <w:r w:rsidRPr="00827898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turn to for inspiration and guidance when trying to build social power.</w:t>
            </w:r>
          </w:p>
          <w:p w14:paraId="7002C270" w14:textId="1E1A77AD" w:rsidR="00F24EFB" w:rsidRPr="00FD76D5" w:rsidRDefault="00F24EFB" w:rsidP="00827898">
            <w:pPr>
              <w:pStyle w:val="Box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</w:rPr>
              <w:t>I</w:t>
            </w:r>
            <w:r w:rsidRPr="00F24EFB">
              <w:rPr>
                <w:rFonts w:asciiTheme="minorHAnsi" w:hAnsiTheme="minorHAnsi" w:cstheme="minorHAnsi"/>
                <w:bCs/>
                <w:color w:val="auto"/>
                <w:sz w:val="24"/>
              </w:rPr>
              <w:t>dentify at least one kind of role they are excited to take on to contribute to positive social change on campus, in their workplace, or in their community.</w:t>
            </w:r>
          </w:p>
        </w:tc>
      </w:tr>
      <w:bookmarkEnd w:id="0"/>
    </w:tbl>
    <w:p w14:paraId="4C4F2E9A" w14:textId="77777777" w:rsidR="001233E7" w:rsidRDefault="001233E7" w:rsidP="00C9771B">
      <w:pPr>
        <w:spacing w:before="240" w:after="240" w:line="276" w:lineRule="auto"/>
        <w:rPr>
          <w:rFonts w:asciiTheme="minorHAnsi" w:eastAsia="Arial" w:hAnsiTheme="minorHAnsi" w:cstheme="minorHAnsi"/>
          <w:b/>
          <w:bCs/>
          <w:szCs w:val="24"/>
          <w:lang w:val="en"/>
        </w:rPr>
      </w:pPr>
    </w:p>
    <w:p w14:paraId="7876091A" w14:textId="76FFBEFF" w:rsidR="00214C06" w:rsidRPr="00FD76D5" w:rsidRDefault="003926C2" w:rsidP="00C9771B">
      <w:pPr>
        <w:spacing w:before="240" w:after="240" w:line="276" w:lineRule="auto"/>
        <w:rPr>
          <w:rFonts w:asciiTheme="minorHAnsi" w:eastAsia="Arial" w:hAnsiTheme="minorHAnsi" w:cstheme="minorHAnsi"/>
          <w:b/>
          <w:bCs/>
          <w:szCs w:val="24"/>
          <w:lang w:val="en"/>
        </w:rPr>
      </w:pPr>
      <w:r w:rsidRPr="00FD76D5">
        <w:rPr>
          <w:rFonts w:asciiTheme="minorHAnsi" w:eastAsia="Arial" w:hAnsiTheme="minorHAnsi" w:cstheme="minorHAnsi"/>
          <w:b/>
          <w:bCs/>
          <w:szCs w:val="24"/>
          <w:lang w:val="en"/>
        </w:rPr>
        <w:t>Tool Instructions:</w:t>
      </w:r>
    </w:p>
    <w:p w14:paraId="5ECD5FC3" w14:textId="53399A29" w:rsidR="00214C06" w:rsidRPr="00FD76D5" w:rsidRDefault="008C7A3E" w:rsidP="00C35C51">
      <w:pPr>
        <w:pStyle w:val="ListParagraph"/>
        <w:numPr>
          <w:ilvl w:val="0"/>
          <w:numId w:val="9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Assign the </w:t>
      </w:r>
      <w:r w:rsidR="000D77C2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video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as homework. It </w:t>
      </w:r>
      <w:r w:rsidR="000D77C2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is a little more than 15 minutes in length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.</w:t>
      </w:r>
      <w:r w:rsidR="00603C42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To access the video</w:t>
      </w:r>
      <w:r w:rsidR="00E16489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, search in Canvas Commons for “SLS Teaching Tool – Power and Social Change Video Introduction.”</w:t>
      </w:r>
      <w:r w:rsidR="00D56AB7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You should then be able to import it into your course to make it accessible to students.</w:t>
      </w:r>
    </w:p>
    <w:p w14:paraId="4C23352A" w14:textId="586EB2C8" w:rsidR="008C7A3E" w:rsidRPr="00FD76D5" w:rsidRDefault="008C7A3E" w:rsidP="00C35C51">
      <w:pPr>
        <w:pStyle w:val="ListParagraph"/>
        <w:numPr>
          <w:ilvl w:val="0"/>
          <w:numId w:val="9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If your course us</w:t>
      </w:r>
      <w:r w:rsidR="00DC1C87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es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a particular platform for </w:t>
      </w:r>
      <w:r w:rsidR="008D123B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reading</w:t>
      </w:r>
      <w:r w:rsidR="00DC1C87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responses</w:t>
      </w:r>
      <w:r w:rsidR="008D123B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(</w:t>
      </w:r>
      <w:proofErr w:type="spellStart"/>
      <w:r w:rsidR="008D123B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Perusall</w:t>
      </w:r>
      <w:proofErr w:type="spellEnd"/>
      <w:r w:rsidR="008D123B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, Ed Discussion, Padlet, etc.), </w:t>
      </w:r>
      <w:r w:rsidR="006B7E68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direct students to respond to at least </w:t>
      </w:r>
      <w:r w:rsidR="00AD4C08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one</w:t>
      </w:r>
      <w:r w:rsidR="006B7E68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of the discussion questions</w:t>
      </w:r>
      <w:r w:rsidR="00BC6FD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on that platform before they come to class. If you do not typically use a discussion </w:t>
      </w:r>
      <w:r w:rsidR="0057794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tool</w:t>
      </w:r>
      <w:r w:rsidR="00BC6FD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in this way, you </w:t>
      </w:r>
      <w:r w:rsidR="00AD4C08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can save the discussion for class</w:t>
      </w:r>
      <w:r w:rsidR="0057794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.</w:t>
      </w:r>
    </w:p>
    <w:p w14:paraId="20616A2B" w14:textId="6CD89374" w:rsidR="00610718" w:rsidRPr="00FD76D5" w:rsidRDefault="00245FBE" w:rsidP="00C35C51">
      <w:pPr>
        <w:pStyle w:val="ListParagraph"/>
        <w:numPr>
          <w:ilvl w:val="0"/>
          <w:numId w:val="9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Open the class discussion by inviting students to </w:t>
      </w:r>
      <w:r w:rsidR="00211B1E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share their thoughts about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your reason for assigning the </w:t>
      </w:r>
      <w:r w:rsidR="007753CA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video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. </w:t>
      </w:r>
      <w:r w:rsidR="00FC0119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What is the connection between the course content and </w:t>
      </w:r>
      <w:r w:rsidR="00FE07E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a </w:t>
      </w:r>
      <w:r w:rsidR="007753CA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video</w:t>
      </w:r>
      <w:r w:rsidR="00FE07E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about </w:t>
      </w:r>
      <w:r w:rsidR="00994CF3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power and social change</w:t>
      </w:r>
      <w:r w:rsidR="00FE07E6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? Have them reflect on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</w:t>
      </w:r>
      <w:r w:rsidR="0042332F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what they </w:t>
      </w:r>
      <w:r w:rsidR="00566E42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might</w:t>
      </w:r>
      <w:r w:rsidR="0042332F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choose </w:t>
      </w:r>
      <w:r w:rsidR="00994CF3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as their </w:t>
      </w:r>
      <w:r w:rsidR="00566E42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social change </w:t>
      </w:r>
      <w:r w:rsidR="00994CF3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vision, and what a “small win” associated with that vision</w:t>
      </w:r>
      <w:r w:rsidR="00873240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might look like</w:t>
      </w:r>
      <w:r w:rsidR="0042332F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.</w:t>
      </w:r>
      <w:r w:rsidR="002101BE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If that feels too big, you might suggest they think specifically about </w:t>
      </w:r>
      <w:r w:rsidR="00E10DFE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their current context—Georgia Tech—and what they’d like to change here.</w:t>
      </w:r>
    </w:p>
    <w:p w14:paraId="5E3FC09B" w14:textId="71E7A998" w:rsidR="0042332F" w:rsidRPr="00FD76D5" w:rsidRDefault="003914C5" w:rsidP="001D0CC0">
      <w:pPr>
        <w:pStyle w:val="ListParagraph"/>
        <w:numPr>
          <w:ilvl w:val="0"/>
          <w:numId w:val="9"/>
        </w:numPr>
        <w:snapToGrid w:val="0"/>
        <w:spacing w:before="240" w:after="48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Depending upon class size and dynamics, </w:t>
      </w:r>
      <w:r w:rsidR="00746560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select from the following discussion questions and sample activities</w:t>
      </w:r>
      <w:r w:rsidR="00095527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(or develop your own!)</w:t>
      </w:r>
      <w:r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. </w:t>
      </w:r>
      <w:r w:rsidR="003568C4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You may find it helpful to refer to </w:t>
      </w:r>
      <w:r w:rsidR="006903F8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this </w:t>
      </w:r>
      <w:hyperlink r:id="rId8" w:history="1">
        <w:r w:rsidR="006903F8" w:rsidRPr="00FD76D5">
          <w:rPr>
            <w:rStyle w:val="Hyperlink"/>
            <w:rFonts w:asciiTheme="minorHAnsi" w:eastAsia="Arial" w:hAnsiTheme="minorHAnsi" w:cstheme="minorHAnsi"/>
            <w:color w:val="000000" w:themeColor="text1"/>
            <w:sz w:val="24"/>
            <w:lang w:val="en"/>
          </w:rPr>
          <w:t>CTL resource</w:t>
        </w:r>
      </w:hyperlink>
      <w:r w:rsidR="006903F8" w:rsidRPr="00FD76D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for suggestions about facilitating class discussions.</w:t>
      </w:r>
    </w:p>
    <w:p w14:paraId="33C00727" w14:textId="060A22D5" w:rsidR="00873BCB" w:rsidRPr="00CA4B9E" w:rsidRDefault="00C9771B" w:rsidP="00904501">
      <w:pPr>
        <w:spacing w:before="240" w:after="240" w:line="276" w:lineRule="auto"/>
        <w:rPr>
          <w:rFonts w:asciiTheme="minorHAnsi" w:eastAsia="Arial" w:hAnsiTheme="minorHAnsi" w:cstheme="minorHAnsi"/>
          <w:b/>
          <w:bCs/>
          <w:szCs w:val="24"/>
          <w:lang w:val="en"/>
        </w:rPr>
      </w:pPr>
      <w:r w:rsidRPr="00FD76D5">
        <w:rPr>
          <w:rFonts w:asciiTheme="minorHAnsi" w:eastAsia="Arial" w:hAnsiTheme="minorHAnsi" w:cstheme="minorHAnsi"/>
          <w:b/>
          <w:bCs/>
          <w:szCs w:val="24"/>
          <w:lang w:val="en"/>
        </w:rPr>
        <w:t>Suggested discussion questions:</w:t>
      </w:r>
    </w:p>
    <w:p w14:paraId="35498856" w14:textId="5D0AAF8D" w:rsidR="00904501" w:rsidRPr="00FD4309" w:rsidRDefault="00CA4B9E" w:rsidP="00CC1C6E">
      <w:pPr>
        <w:pStyle w:val="ListParagraph"/>
        <w:numPr>
          <w:ilvl w:val="0"/>
          <w:numId w:val="11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D4309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In the video, Dr. Pride Brown describes the way social scientists </w:t>
      </w:r>
      <w:r w:rsidR="006D6E31" w:rsidRPr="00FD4309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think about power. </w:t>
      </w:r>
      <w:r w:rsidR="006D0EC1" w:rsidRPr="00FD4309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Based on her discussion, how is power defined in the context of social movements? How does this understanding of power differ from </w:t>
      </w:r>
      <w:r w:rsidR="00FD4309" w:rsidRPr="00FD4309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the ways you hear the word used in everyday conversations?</w:t>
      </w:r>
    </w:p>
    <w:p w14:paraId="076A3D82" w14:textId="0F097133" w:rsidR="00FD4309" w:rsidRDefault="00DF67AE" w:rsidP="00CC1C6E">
      <w:pPr>
        <w:pStyle w:val="ListParagraph"/>
        <w:numPr>
          <w:ilvl w:val="0"/>
          <w:numId w:val="11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F42C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Why is it important for </w:t>
      </w:r>
      <w:r w:rsidR="00F42C9B" w:rsidRPr="00F42C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groups working for social change to have a “dream big” </w:t>
      </w:r>
      <w:r w:rsidR="00DB37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compelling </w:t>
      </w:r>
      <w:r w:rsidR="00F42C9B" w:rsidRPr="00F42C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vision AND </w:t>
      </w:r>
      <w:r w:rsidR="00DB37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identify </w:t>
      </w:r>
      <w:r w:rsidR="00F42C9B" w:rsidRPr="00F42C9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small, concrete objectives?</w:t>
      </w:r>
    </w:p>
    <w:p w14:paraId="0AA2BCB2" w14:textId="5D08E706" w:rsidR="00DB379B" w:rsidRDefault="007E777E" w:rsidP="00CC1C6E">
      <w:pPr>
        <w:pStyle w:val="ListParagraph"/>
        <w:numPr>
          <w:ilvl w:val="0"/>
          <w:numId w:val="11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Describe at three different kinds of roles people can play as part of a social movement. Which roles best align with your strengths and </w:t>
      </w:r>
      <w:r w:rsidR="00CC1C6E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what you enjoy?</w:t>
      </w:r>
    </w:p>
    <w:p w14:paraId="430D79A0" w14:textId="4F1AE812" w:rsidR="001233E7" w:rsidRPr="00905350" w:rsidRDefault="00372E75" w:rsidP="00A92E0D">
      <w:pPr>
        <w:pStyle w:val="ListParagraph"/>
        <w:numPr>
          <w:ilvl w:val="0"/>
          <w:numId w:val="11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>
        <w:rPr>
          <w:rFonts w:asciiTheme="minorHAnsi" w:eastAsia="Arial" w:hAnsiTheme="minorHAnsi" w:cstheme="minorHAnsi"/>
          <w:color w:val="000000" w:themeColor="text1"/>
          <w:sz w:val="24"/>
          <w:lang w:val="en"/>
        </w:rPr>
        <w:lastRenderedPageBreak/>
        <w:t xml:space="preserve">Based on what you’ve learned from the video, </w:t>
      </w:r>
      <w:r w:rsidR="00800EF6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provide an example or two of actions Georgia Tech students can take </w:t>
      </w:r>
      <w:r w:rsidR="001D0CC0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to advance the kinds of changes they would like to see on campus</w:t>
      </w:r>
      <w:r w:rsidR="00F41120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.</w:t>
      </w:r>
    </w:p>
    <w:p w14:paraId="52F5B848" w14:textId="2143D9F6" w:rsidR="00873BCB" w:rsidRPr="00E81E91" w:rsidRDefault="00652B65" w:rsidP="00A92E0D">
      <w:pPr>
        <w:spacing w:before="240" w:after="240" w:line="276" w:lineRule="auto"/>
        <w:rPr>
          <w:rFonts w:asciiTheme="minorHAnsi" w:eastAsia="Arial" w:hAnsiTheme="minorHAnsi" w:cstheme="minorHAnsi"/>
          <w:b/>
          <w:bCs/>
          <w:szCs w:val="24"/>
          <w:lang w:val="en"/>
        </w:rPr>
      </w:pPr>
      <w:r>
        <w:rPr>
          <w:rFonts w:asciiTheme="minorHAnsi" w:eastAsia="Arial" w:hAnsiTheme="minorHAnsi" w:cstheme="minorHAnsi"/>
          <w:b/>
          <w:bCs/>
          <w:szCs w:val="24"/>
          <w:lang w:val="en"/>
        </w:rPr>
        <w:t>Suggested activities</w:t>
      </w:r>
      <w:r w:rsidR="00E81E91">
        <w:rPr>
          <w:rFonts w:asciiTheme="minorHAnsi" w:eastAsia="Arial" w:hAnsiTheme="minorHAnsi" w:cstheme="minorHAnsi"/>
          <w:b/>
          <w:bCs/>
          <w:szCs w:val="24"/>
          <w:lang w:val="en"/>
        </w:rPr>
        <w:t>:</w:t>
      </w:r>
    </w:p>
    <w:p w14:paraId="06AB79E3" w14:textId="1AD5A377" w:rsidR="00E81E91" w:rsidRDefault="00E81E91" w:rsidP="004B6D1D">
      <w:pPr>
        <w:pStyle w:val="ListParagraph"/>
        <w:numPr>
          <w:ilvl w:val="0"/>
          <w:numId w:val="12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 w:rsidRPr="00E81E91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In the video, Dr. Pride </w:t>
      </w:r>
      <w:r w:rsidR="00372E75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B</w:t>
      </w:r>
      <w:r w:rsidRPr="00E81E91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rown describes </w:t>
      </w:r>
      <w:r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the importance of social change groups getting their message out and </w:t>
      </w:r>
      <w:r w:rsidR="007F5D8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shaping their messages in ways that resonate with their target audience</w:t>
      </w:r>
      <w:r w:rsidR="0036663D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(s)</w:t>
      </w:r>
      <w:r w:rsidR="007F5D8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. </w:t>
      </w:r>
      <w:r w:rsidR="00ED03D3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Ask students to use the Internet to identify several examples of messaging from social change organizations. </w:t>
      </w:r>
      <w:r w:rsidR="00AB673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Work with them to identify who the target audiences might be</w:t>
      </w:r>
      <w:r w:rsidR="0036663D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. </w:t>
      </w:r>
      <w:r w:rsidR="00177A73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Ask them to evaluate how </w:t>
      </w:r>
      <w:r w:rsidR="004F2BC4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effective the messaging is likely to be in mobilizing volunteers and persuading people that their cause is worthy.</w:t>
      </w:r>
    </w:p>
    <w:p w14:paraId="3590293A" w14:textId="03A210C4" w:rsidR="005514FE" w:rsidRPr="004B6D1D" w:rsidRDefault="00D54E6B" w:rsidP="00A92E0D">
      <w:pPr>
        <w:pStyle w:val="ListParagraph"/>
        <w:numPr>
          <w:ilvl w:val="0"/>
          <w:numId w:val="12"/>
        </w:numPr>
        <w:snapToGrid w:val="0"/>
        <w:spacing w:before="240" w:after="240" w:line="276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lang w:val="en"/>
        </w:rPr>
      </w:pPr>
      <w:r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Drawing on a social challenge you have discussed in class, </w:t>
      </w:r>
      <w:r w:rsidR="007A6A8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invite</w:t>
      </w:r>
      <w:r w:rsidR="00025151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students </w:t>
      </w:r>
      <w:r w:rsidR="007A6A8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to </w:t>
      </w:r>
      <w:r w:rsidR="00025151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work indiv</w:t>
      </w:r>
      <w:r w:rsidR="007A6A8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idually</w:t>
      </w:r>
      <w:r w:rsidR="00662D6F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, in pairs, or in small groups to 1) articulate a </w:t>
      </w:r>
      <w:r w:rsidR="00CC60C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compelling vision for change, </w:t>
      </w:r>
      <w:r w:rsidR="00847DF6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as described</w:t>
      </w:r>
      <w:r w:rsidR="00CC60CB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in the video</w:t>
      </w:r>
      <w:r w:rsidR="003C6FDC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, and 2) identify 2-3 small, concrete advances toward that vision that a social change group could feasibly “win” within a year or </w:t>
      </w:r>
      <w:r w:rsidR="004B6D1D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two. Alternatively, student could identify a social problem at Georgia Tech that they would like to address</w:t>
      </w:r>
      <w:r w:rsidR="00AD4C08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 xml:space="preserve"> </w:t>
      </w:r>
      <w:r w:rsidR="004B6D1D">
        <w:rPr>
          <w:rFonts w:asciiTheme="minorHAnsi" w:eastAsia="Arial" w:hAnsiTheme="minorHAnsi" w:cstheme="minorHAnsi"/>
          <w:color w:val="000000" w:themeColor="text1"/>
          <w:sz w:val="24"/>
          <w:lang w:val="en"/>
        </w:rPr>
        <w:t>and use that as the basis for the exercise.</w:t>
      </w:r>
    </w:p>
    <w:p w14:paraId="7DA7F18C" w14:textId="189FE0AA" w:rsidR="00C9771B" w:rsidRPr="00FD76D5" w:rsidRDefault="00C9771B" w:rsidP="00C9771B">
      <w:pPr>
        <w:spacing w:before="240" w:after="240" w:line="276" w:lineRule="auto"/>
        <w:rPr>
          <w:rFonts w:asciiTheme="minorHAnsi" w:eastAsia="Arial" w:hAnsiTheme="minorHAnsi" w:cstheme="minorHAnsi"/>
          <w:szCs w:val="24"/>
          <w:lang w:val="en"/>
        </w:rPr>
      </w:pPr>
      <w:r w:rsidRPr="00FD76D5">
        <w:rPr>
          <w:rFonts w:asciiTheme="minorHAnsi" w:eastAsia="Arial" w:hAnsiTheme="minorHAnsi" w:cstheme="minorHAnsi"/>
          <w:b/>
          <w:szCs w:val="24"/>
          <w:lang w:val="en"/>
        </w:rPr>
        <w:t>Additional Readings</w:t>
      </w:r>
      <w:r w:rsidRPr="00FD76D5">
        <w:rPr>
          <w:rFonts w:asciiTheme="minorHAnsi" w:eastAsia="Arial" w:hAnsiTheme="minorHAnsi" w:cstheme="minorHAnsi"/>
          <w:szCs w:val="24"/>
          <w:lang w:val="en"/>
        </w:rPr>
        <w:t>:</w:t>
      </w:r>
    </w:p>
    <w:p w14:paraId="57A9EDA1" w14:textId="3830D2AE" w:rsidR="00C9771B" w:rsidRPr="00FD76D5" w:rsidRDefault="003538CF" w:rsidP="00C9771B">
      <w:pPr>
        <w:spacing w:before="240" w:after="240" w:line="276" w:lineRule="auto"/>
        <w:contextualSpacing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  <w:r w:rsidRPr="00FD76D5">
        <w:rPr>
          <w:rFonts w:asciiTheme="minorHAnsi" w:hAnsiTheme="minorHAnsi" w:cstheme="minorHAnsi"/>
          <w:color w:val="222222"/>
          <w:szCs w:val="24"/>
          <w:shd w:val="clear" w:color="auto" w:fill="FFFFFF"/>
        </w:rPr>
        <w:t>Goodwin, J., &amp; Jasper, J. M. (Eds.). (2009). </w:t>
      </w:r>
      <w:r w:rsidRPr="00FD76D5">
        <w:rPr>
          <w:rFonts w:asciiTheme="minorHAnsi" w:hAnsiTheme="minorHAnsi" w:cstheme="minorHAnsi"/>
          <w:i/>
          <w:iCs/>
          <w:color w:val="222222"/>
          <w:szCs w:val="24"/>
          <w:shd w:val="clear" w:color="auto" w:fill="FFFFFF"/>
        </w:rPr>
        <w:t>The social movements reader: Cases and concepts</w:t>
      </w:r>
      <w:r w:rsidRPr="00FD76D5">
        <w:rPr>
          <w:rFonts w:asciiTheme="minorHAnsi" w:hAnsiTheme="minorHAnsi" w:cstheme="minorHAnsi"/>
          <w:color w:val="222222"/>
          <w:szCs w:val="24"/>
          <w:shd w:val="clear" w:color="auto" w:fill="FFFFFF"/>
        </w:rPr>
        <w:t> (No. 12). John Wiley &amp; Sons.</w:t>
      </w:r>
      <w:r w:rsidR="00873BCB" w:rsidRPr="00FD76D5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(</w:t>
      </w:r>
      <w:proofErr w:type="gramStart"/>
      <w:r w:rsidR="00873BCB" w:rsidRPr="00FD76D5">
        <w:rPr>
          <w:rFonts w:asciiTheme="minorHAnsi" w:hAnsiTheme="minorHAnsi" w:cstheme="minorHAnsi"/>
          <w:color w:val="222222"/>
          <w:szCs w:val="24"/>
          <w:shd w:val="clear" w:color="auto" w:fill="FFFFFF"/>
        </w:rPr>
        <w:t>available</w:t>
      </w:r>
      <w:proofErr w:type="gramEnd"/>
      <w:r w:rsidR="00873BCB" w:rsidRPr="00FD76D5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in Georgia Tech library)</w:t>
      </w:r>
    </w:p>
    <w:p w14:paraId="139AE39C" w14:textId="77777777" w:rsidR="00873BCB" w:rsidRPr="00FD76D5" w:rsidRDefault="00873BCB" w:rsidP="00C9771B">
      <w:pPr>
        <w:spacing w:before="240" w:after="240" w:line="276" w:lineRule="auto"/>
        <w:contextualSpacing/>
        <w:rPr>
          <w:rFonts w:asciiTheme="minorHAnsi" w:hAnsiTheme="minorHAnsi" w:cstheme="minorHAnsi"/>
          <w:color w:val="222222"/>
          <w:szCs w:val="24"/>
          <w:shd w:val="clear" w:color="auto" w:fill="FFFFFF"/>
        </w:rPr>
      </w:pPr>
    </w:p>
    <w:p w14:paraId="6DBABE14" w14:textId="460A143D" w:rsidR="00873BCB" w:rsidRPr="00FD76D5" w:rsidRDefault="00FD76D5" w:rsidP="00C9771B">
      <w:pPr>
        <w:spacing w:before="240" w:after="240" w:line="276" w:lineRule="auto"/>
        <w:contextualSpacing/>
        <w:rPr>
          <w:rFonts w:asciiTheme="minorHAnsi" w:eastAsia="Arial" w:hAnsiTheme="minorHAnsi" w:cstheme="minorHAnsi"/>
          <w:szCs w:val="24"/>
          <w:lang w:val="en"/>
        </w:rPr>
      </w:pPr>
      <w:r w:rsidRPr="00FD76D5">
        <w:rPr>
          <w:rFonts w:asciiTheme="minorHAnsi" w:eastAsia="Arial" w:hAnsiTheme="minorHAnsi" w:cstheme="minorHAnsi"/>
          <w:szCs w:val="24"/>
          <w:lang w:val="en"/>
        </w:rPr>
        <w:t xml:space="preserve">SLS Reflection authored by Sociology Professor Bill Winders: </w:t>
      </w:r>
      <w:hyperlink r:id="rId9" w:history="1">
        <w:r w:rsidRPr="00FD76D5">
          <w:rPr>
            <w:rStyle w:val="Hyperlink"/>
            <w:rFonts w:asciiTheme="minorHAnsi" w:eastAsia="Arial" w:hAnsiTheme="minorHAnsi" w:cstheme="minorHAnsi"/>
            <w:szCs w:val="24"/>
            <w:lang w:val="en"/>
          </w:rPr>
          <w:t>Reflections on Protests Against Racial Injustice</w:t>
        </w:r>
      </w:hyperlink>
      <w:r w:rsidRPr="00FD76D5">
        <w:rPr>
          <w:rFonts w:asciiTheme="minorHAnsi" w:eastAsia="Arial" w:hAnsiTheme="minorHAnsi" w:cstheme="minorHAnsi"/>
          <w:szCs w:val="24"/>
          <w:lang w:val="en"/>
        </w:rPr>
        <w:t>.</w:t>
      </w:r>
    </w:p>
    <w:p w14:paraId="313013DF" w14:textId="77777777" w:rsidR="00C9771B" w:rsidRPr="00FD76D5" w:rsidRDefault="00C9771B" w:rsidP="00C9771B">
      <w:pPr>
        <w:spacing w:before="240" w:after="240" w:line="276" w:lineRule="auto"/>
        <w:contextualSpacing/>
        <w:rPr>
          <w:rFonts w:asciiTheme="minorHAnsi" w:eastAsia="Arial" w:hAnsiTheme="minorHAnsi" w:cstheme="minorHAnsi"/>
          <w:szCs w:val="24"/>
          <w:lang w:val="en"/>
        </w:rPr>
      </w:pPr>
    </w:p>
    <w:p w14:paraId="1C7713CD" w14:textId="77777777" w:rsidR="00C9771B" w:rsidRPr="00FD76D5" w:rsidRDefault="00C9771B" w:rsidP="00C9771B">
      <w:pPr>
        <w:spacing w:before="240" w:after="240" w:line="276" w:lineRule="auto"/>
        <w:contextualSpacing/>
        <w:rPr>
          <w:rFonts w:asciiTheme="minorHAnsi" w:eastAsia="Arial" w:hAnsiTheme="minorHAnsi" w:cstheme="minorHAnsi"/>
          <w:b/>
          <w:bCs/>
          <w:szCs w:val="24"/>
          <w:lang w:val="en"/>
        </w:rPr>
      </w:pPr>
      <w:r w:rsidRPr="00FD76D5">
        <w:rPr>
          <w:rFonts w:asciiTheme="minorHAnsi" w:eastAsia="Arial" w:hAnsiTheme="minorHAnsi" w:cstheme="minorHAnsi"/>
          <w:b/>
          <w:bCs/>
          <w:szCs w:val="24"/>
          <w:lang w:val="en"/>
        </w:rPr>
        <w:t>Support:</w:t>
      </w:r>
    </w:p>
    <w:p w14:paraId="1A7CAE14" w14:textId="1C2C46BE" w:rsidR="00DB533F" w:rsidRPr="00B75DB2" w:rsidRDefault="00C9771B" w:rsidP="00B75DB2">
      <w:pPr>
        <w:spacing w:before="240" w:after="240" w:line="276" w:lineRule="auto"/>
        <w:contextualSpacing/>
        <w:rPr>
          <w:rFonts w:asciiTheme="minorHAnsi" w:eastAsia="Arial" w:hAnsiTheme="minorHAnsi" w:cstheme="minorHAnsi"/>
          <w:szCs w:val="24"/>
          <w:lang w:val="en"/>
        </w:rPr>
      </w:pPr>
      <w:r w:rsidRPr="00FD76D5">
        <w:rPr>
          <w:rFonts w:asciiTheme="minorHAnsi" w:eastAsia="Arial" w:hAnsiTheme="minorHAnsi" w:cstheme="minorHAnsi"/>
          <w:szCs w:val="24"/>
          <w:lang w:val="en"/>
        </w:rPr>
        <w:t>This work was supported by the Georgia Tech Center for Serve-Learn-Sustain Teaching Toolkit Grant Program</w:t>
      </w:r>
      <w:r w:rsidR="00B75DB2">
        <w:rPr>
          <w:rFonts w:asciiTheme="minorHAnsi" w:eastAsia="Arial" w:hAnsiTheme="minorHAnsi" w:cstheme="minorHAnsi"/>
          <w:szCs w:val="24"/>
          <w:lang w:val="en"/>
        </w:rPr>
        <w:t xml:space="preserve"> and the Center for Teaching and Learning.</w:t>
      </w:r>
    </w:p>
    <w:sectPr w:rsidR="00DB533F" w:rsidRPr="00B75DB2" w:rsidSect="008B15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D7D" w14:textId="77777777" w:rsidR="00525334" w:rsidRDefault="00525334" w:rsidP="009302B8">
      <w:pPr>
        <w:spacing w:line="240" w:lineRule="auto"/>
      </w:pPr>
      <w:r>
        <w:separator/>
      </w:r>
    </w:p>
  </w:endnote>
  <w:endnote w:type="continuationSeparator" w:id="0">
    <w:p w14:paraId="003C9598" w14:textId="77777777" w:rsidR="00525334" w:rsidRDefault="00525334" w:rsidP="009302B8">
      <w:pPr>
        <w:spacing w:line="240" w:lineRule="auto"/>
      </w:pPr>
      <w:r>
        <w:continuationSeparator/>
      </w:r>
    </w:p>
  </w:endnote>
  <w:endnote w:type="continuationNotice" w:id="1">
    <w:p w14:paraId="5056E639" w14:textId="77777777" w:rsidR="00525334" w:rsidRDefault="005253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C27B" w14:textId="77777777" w:rsidR="009302B8" w:rsidRPr="008B159A" w:rsidRDefault="00905350" w:rsidP="008B159A">
    <w:pPr>
      <w:tabs>
        <w:tab w:val="center" w:pos="4680"/>
        <w:tab w:val="right" w:pos="9360"/>
      </w:tabs>
      <w:spacing w:line="240" w:lineRule="auto"/>
      <w:rPr>
        <w:rFonts w:ascii="Arial" w:eastAsia="Calibri" w:hAnsi="Arial" w:cs="Arial"/>
        <w:sz w:val="20"/>
        <w:szCs w:val="20"/>
      </w:rPr>
    </w:pPr>
    <w:hyperlink r:id="rId1" w:history="1">
      <w:r w:rsidR="009302B8" w:rsidRPr="008B159A"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  <w:t>http://serve-learn-sustain.gatech.edu/teaching-toolkit</w:t>
      </w:r>
    </w:hyperlink>
    <w:r w:rsidR="009302B8" w:rsidRPr="008B159A">
      <w:rPr>
        <w:rFonts w:ascii="Arial" w:eastAsia="Calibri" w:hAnsi="Arial" w:cs="Arial"/>
        <w:sz w:val="20"/>
        <w:szCs w:val="20"/>
      </w:rPr>
      <w:t xml:space="preserve"> </w:t>
    </w:r>
    <w:r w:rsidR="009302B8" w:rsidRPr="008B159A">
      <w:rPr>
        <w:rFonts w:ascii="Arial" w:eastAsia="Calibri" w:hAnsi="Arial" w:cs="Arial"/>
        <w:sz w:val="20"/>
        <w:szCs w:val="20"/>
      </w:rPr>
      <w:tab/>
    </w:r>
    <w:r w:rsidR="00DA4806">
      <w:fldChar w:fldCharType="begin"/>
    </w:r>
    <w:r w:rsidR="00DA4806">
      <w:instrText xml:space="preserve"> PAGE   \* MERGEFORMAT </w:instrText>
    </w:r>
    <w:r w:rsidR="00DA4806">
      <w:fldChar w:fldCharType="separate"/>
    </w:r>
    <w:r w:rsidR="003860B9">
      <w:rPr>
        <w:rFonts w:ascii="Arial" w:eastAsia="Calibri" w:hAnsi="Arial" w:cs="Arial"/>
        <w:noProof/>
        <w:sz w:val="20"/>
        <w:szCs w:val="20"/>
      </w:rPr>
      <w:t>1</w:t>
    </w:r>
    <w:r w:rsidR="00DA4806">
      <w:rPr>
        <w:rFonts w:ascii="Arial" w:eastAsia="Calibri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7312" w14:textId="77777777" w:rsidR="00525334" w:rsidRDefault="00525334" w:rsidP="009302B8">
      <w:pPr>
        <w:spacing w:line="240" w:lineRule="auto"/>
      </w:pPr>
      <w:r>
        <w:separator/>
      </w:r>
    </w:p>
  </w:footnote>
  <w:footnote w:type="continuationSeparator" w:id="0">
    <w:p w14:paraId="6D025234" w14:textId="77777777" w:rsidR="00525334" w:rsidRDefault="00525334" w:rsidP="009302B8">
      <w:pPr>
        <w:spacing w:line="240" w:lineRule="auto"/>
      </w:pPr>
      <w:r>
        <w:continuationSeparator/>
      </w:r>
    </w:p>
  </w:footnote>
  <w:footnote w:type="continuationNotice" w:id="1">
    <w:p w14:paraId="005F2B06" w14:textId="77777777" w:rsidR="00525334" w:rsidRDefault="0052533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99B"/>
    <w:multiLevelType w:val="hybridMultilevel"/>
    <w:tmpl w:val="827C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BA1"/>
    <w:multiLevelType w:val="hybridMultilevel"/>
    <w:tmpl w:val="C7663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5C9"/>
    <w:multiLevelType w:val="hybridMultilevel"/>
    <w:tmpl w:val="07E099EE"/>
    <w:lvl w:ilvl="0" w:tplc="CEA8B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969"/>
    <w:multiLevelType w:val="hybridMultilevel"/>
    <w:tmpl w:val="736A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24D5"/>
    <w:multiLevelType w:val="hybridMultilevel"/>
    <w:tmpl w:val="7B68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0E8"/>
    <w:multiLevelType w:val="hybridMultilevel"/>
    <w:tmpl w:val="B6A8E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10A19"/>
    <w:multiLevelType w:val="hybridMultilevel"/>
    <w:tmpl w:val="C76635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03CD"/>
    <w:multiLevelType w:val="hybridMultilevel"/>
    <w:tmpl w:val="5F8A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480A"/>
    <w:multiLevelType w:val="hybridMultilevel"/>
    <w:tmpl w:val="B3E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1CB1"/>
    <w:multiLevelType w:val="hybridMultilevel"/>
    <w:tmpl w:val="DB6A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51CA"/>
    <w:multiLevelType w:val="hybridMultilevel"/>
    <w:tmpl w:val="0FB04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177C"/>
    <w:multiLevelType w:val="hybridMultilevel"/>
    <w:tmpl w:val="3C62C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54165">
    <w:abstractNumId w:val="5"/>
  </w:num>
  <w:num w:numId="2" w16cid:durableId="265310777">
    <w:abstractNumId w:val="2"/>
  </w:num>
  <w:num w:numId="3" w16cid:durableId="128787324">
    <w:abstractNumId w:val="10"/>
  </w:num>
  <w:num w:numId="4" w16cid:durableId="439765439">
    <w:abstractNumId w:val="7"/>
  </w:num>
  <w:num w:numId="5" w16cid:durableId="1627198518">
    <w:abstractNumId w:val="0"/>
  </w:num>
  <w:num w:numId="6" w16cid:durableId="6837209">
    <w:abstractNumId w:val="1"/>
  </w:num>
  <w:num w:numId="7" w16cid:durableId="1664435983">
    <w:abstractNumId w:val="6"/>
  </w:num>
  <w:num w:numId="8" w16cid:durableId="1234239871">
    <w:abstractNumId w:val="3"/>
  </w:num>
  <w:num w:numId="9" w16cid:durableId="729884180">
    <w:abstractNumId w:val="11"/>
  </w:num>
  <w:num w:numId="10" w16cid:durableId="1767537462">
    <w:abstractNumId w:val="4"/>
  </w:num>
  <w:num w:numId="11" w16cid:durableId="1457918068">
    <w:abstractNumId w:val="9"/>
  </w:num>
  <w:num w:numId="12" w16cid:durableId="277033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B8"/>
    <w:rsid w:val="00000186"/>
    <w:rsid w:val="000152A3"/>
    <w:rsid w:val="00025151"/>
    <w:rsid w:val="00030E86"/>
    <w:rsid w:val="0005462F"/>
    <w:rsid w:val="000810C0"/>
    <w:rsid w:val="00095527"/>
    <w:rsid w:val="000C3751"/>
    <w:rsid w:val="000C548B"/>
    <w:rsid w:val="000D77C2"/>
    <w:rsid w:val="000E4F4C"/>
    <w:rsid w:val="0011099D"/>
    <w:rsid w:val="00117598"/>
    <w:rsid w:val="001233E7"/>
    <w:rsid w:val="00126420"/>
    <w:rsid w:val="00177A73"/>
    <w:rsid w:val="00177E21"/>
    <w:rsid w:val="00184AC7"/>
    <w:rsid w:val="001A350D"/>
    <w:rsid w:val="001C1F0D"/>
    <w:rsid w:val="001C7E4B"/>
    <w:rsid w:val="001D0CC0"/>
    <w:rsid w:val="001F12C7"/>
    <w:rsid w:val="002101BE"/>
    <w:rsid w:val="00211B1E"/>
    <w:rsid w:val="00214C06"/>
    <w:rsid w:val="00215F2F"/>
    <w:rsid w:val="00217BD3"/>
    <w:rsid w:val="00245FBE"/>
    <w:rsid w:val="00257A06"/>
    <w:rsid w:val="002611F5"/>
    <w:rsid w:val="00264C2F"/>
    <w:rsid w:val="002802C5"/>
    <w:rsid w:val="002855A7"/>
    <w:rsid w:val="00291300"/>
    <w:rsid w:val="002A6288"/>
    <w:rsid w:val="002A6ADF"/>
    <w:rsid w:val="002E2A0B"/>
    <w:rsid w:val="002E5FBE"/>
    <w:rsid w:val="002E73A7"/>
    <w:rsid w:val="002F2DF4"/>
    <w:rsid w:val="003066BD"/>
    <w:rsid w:val="00324DE0"/>
    <w:rsid w:val="003319FB"/>
    <w:rsid w:val="00333F52"/>
    <w:rsid w:val="003538CF"/>
    <w:rsid w:val="0035541C"/>
    <w:rsid w:val="00355CE2"/>
    <w:rsid w:val="003568C4"/>
    <w:rsid w:val="00357E4D"/>
    <w:rsid w:val="0036663D"/>
    <w:rsid w:val="00372707"/>
    <w:rsid w:val="00372E75"/>
    <w:rsid w:val="00383ED4"/>
    <w:rsid w:val="003860B9"/>
    <w:rsid w:val="003914C5"/>
    <w:rsid w:val="003926C2"/>
    <w:rsid w:val="003A7BA7"/>
    <w:rsid w:val="003C6FDC"/>
    <w:rsid w:val="003D14EA"/>
    <w:rsid w:val="003D3712"/>
    <w:rsid w:val="00405D21"/>
    <w:rsid w:val="004155C9"/>
    <w:rsid w:val="004208EB"/>
    <w:rsid w:val="0042332F"/>
    <w:rsid w:val="00427F69"/>
    <w:rsid w:val="00432F18"/>
    <w:rsid w:val="0043768C"/>
    <w:rsid w:val="00437B3A"/>
    <w:rsid w:val="004A19D1"/>
    <w:rsid w:val="004B6D1D"/>
    <w:rsid w:val="004E4312"/>
    <w:rsid w:val="004F2BC4"/>
    <w:rsid w:val="004F52C2"/>
    <w:rsid w:val="00525334"/>
    <w:rsid w:val="00532FE5"/>
    <w:rsid w:val="005514FE"/>
    <w:rsid w:val="00566E42"/>
    <w:rsid w:val="00577946"/>
    <w:rsid w:val="005C5ED9"/>
    <w:rsid w:val="005D44F0"/>
    <w:rsid w:val="005F1419"/>
    <w:rsid w:val="00603C42"/>
    <w:rsid w:val="00607FD0"/>
    <w:rsid w:val="00610718"/>
    <w:rsid w:val="00622EDA"/>
    <w:rsid w:val="00641225"/>
    <w:rsid w:val="0064445F"/>
    <w:rsid w:val="00652B65"/>
    <w:rsid w:val="00660BCF"/>
    <w:rsid w:val="00662D6F"/>
    <w:rsid w:val="006704BA"/>
    <w:rsid w:val="00673C12"/>
    <w:rsid w:val="00675D3E"/>
    <w:rsid w:val="006903F8"/>
    <w:rsid w:val="006B7E68"/>
    <w:rsid w:val="006C2499"/>
    <w:rsid w:val="006D0EC1"/>
    <w:rsid w:val="006D6E31"/>
    <w:rsid w:val="007141A4"/>
    <w:rsid w:val="007169C6"/>
    <w:rsid w:val="007368D0"/>
    <w:rsid w:val="0074195F"/>
    <w:rsid w:val="00745EF1"/>
    <w:rsid w:val="00746560"/>
    <w:rsid w:val="0074773B"/>
    <w:rsid w:val="0075702B"/>
    <w:rsid w:val="007753CA"/>
    <w:rsid w:val="00791244"/>
    <w:rsid w:val="00796DA6"/>
    <w:rsid w:val="007A6A8F"/>
    <w:rsid w:val="007E777E"/>
    <w:rsid w:val="007F5D8F"/>
    <w:rsid w:val="00800EF6"/>
    <w:rsid w:val="00805EED"/>
    <w:rsid w:val="00812F2D"/>
    <w:rsid w:val="00827898"/>
    <w:rsid w:val="0084515F"/>
    <w:rsid w:val="00847DF6"/>
    <w:rsid w:val="00851360"/>
    <w:rsid w:val="00873240"/>
    <w:rsid w:val="00873BCB"/>
    <w:rsid w:val="0087628F"/>
    <w:rsid w:val="008847F6"/>
    <w:rsid w:val="008873EE"/>
    <w:rsid w:val="008A5FDC"/>
    <w:rsid w:val="008B159A"/>
    <w:rsid w:val="008C7A3E"/>
    <w:rsid w:val="008D123B"/>
    <w:rsid w:val="008F0E81"/>
    <w:rsid w:val="00904501"/>
    <w:rsid w:val="00905350"/>
    <w:rsid w:val="00913DAC"/>
    <w:rsid w:val="00916C5A"/>
    <w:rsid w:val="00920BFE"/>
    <w:rsid w:val="00922EAE"/>
    <w:rsid w:val="009238A2"/>
    <w:rsid w:val="00923A6D"/>
    <w:rsid w:val="009302B8"/>
    <w:rsid w:val="00935317"/>
    <w:rsid w:val="00950DAD"/>
    <w:rsid w:val="0096217B"/>
    <w:rsid w:val="009721D6"/>
    <w:rsid w:val="00990C78"/>
    <w:rsid w:val="009912BD"/>
    <w:rsid w:val="00994CF3"/>
    <w:rsid w:val="009A5B67"/>
    <w:rsid w:val="009B6E3C"/>
    <w:rsid w:val="009C1450"/>
    <w:rsid w:val="009E637D"/>
    <w:rsid w:val="00A75B3C"/>
    <w:rsid w:val="00A92E0D"/>
    <w:rsid w:val="00A97808"/>
    <w:rsid w:val="00A97E98"/>
    <w:rsid w:val="00AA00C2"/>
    <w:rsid w:val="00AB673B"/>
    <w:rsid w:val="00AD0C93"/>
    <w:rsid w:val="00AD4C08"/>
    <w:rsid w:val="00B07CB5"/>
    <w:rsid w:val="00B137C9"/>
    <w:rsid w:val="00B17080"/>
    <w:rsid w:val="00B27BD7"/>
    <w:rsid w:val="00B6280E"/>
    <w:rsid w:val="00B75DB2"/>
    <w:rsid w:val="00B7651F"/>
    <w:rsid w:val="00B811BB"/>
    <w:rsid w:val="00B967C5"/>
    <w:rsid w:val="00B968F2"/>
    <w:rsid w:val="00BB66F6"/>
    <w:rsid w:val="00BC6FD6"/>
    <w:rsid w:val="00BF7589"/>
    <w:rsid w:val="00C11F20"/>
    <w:rsid w:val="00C20A75"/>
    <w:rsid w:val="00C35C51"/>
    <w:rsid w:val="00C810ED"/>
    <w:rsid w:val="00C82E9F"/>
    <w:rsid w:val="00C9771B"/>
    <w:rsid w:val="00CA4B9E"/>
    <w:rsid w:val="00CB6E96"/>
    <w:rsid w:val="00CC1C6E"/>
    <w:rsid w:val="00CC28D8"/>
    <w:rsid w:val="00CC2DD6"/>
    <w:rsid w:val="00CC60CB"/>
    <w:rsid w:val="00CD4C2F"/>
    <w:rsid w:val="00D033C3"/>
    <w:rsid w:val="00D11732"/>
    <w:rsid w:val="00D21486"/>
    <w:rsid w:val="00D242EB"/>
    <w:rsid w:val="00D475D0"/>
    <w:rsid w:val="00D54E6B"/>
    <w:rsid w:val="00D56AB7"/>
    <w:rsid w:val="00D83E82"/>
    <w:rsid w:val="00DA4806"/>
    <w:rsid w:val="00DA53A4"/>
    <w:rsid w:val="00DB379B"/>
    <w:rsid w:val="00DB4142"/>
    <w:rsid w:val="00DB533F"/>
    <w:rsid w:val="00DC1C87"/>
    <w:rsid w:val="00DC482B"/>
    <w:rsid w:val="00DD11D3"/>
    <w:rsid w:val="00DD1FF0"/>
    <w:rsid w:val="00DD492C"/>
    <w:rsid w:val="00DE2E36"/>
    <w:rsid w:val="00DE49B3"/>
    <w:rsid w:val="00DF67AE"/>
    <w:rsid w:val="00E10DFE"/>
    <w:rsid w:val="00E16489"/>
    <w:rsid w:val="00E2253B"/>
    <w:rsid w:val="00E22571"/>
    <w:rsid w:val="00E25E09"/>
    <w:rsid w:val="00E30EE1"/>
    <w:rsid w:val="00E41A6A"/>
    <w:rsid w:val="00E64382"/>
    <w:rsid w:val="00E81E91"/>
    <w:rsid w:val="00ED03D3"/>
    <w:rsid w:val="00ED446D"/>
    <w:rsid w:val="00EE0CFC"/>
    <w:rsid w:val="00EE18AF"/>
    <w:rsid w:val="00EE4460"/>
    <w:rsid w:val="00EF1971"/>
    <w:rsid w:val="00EF2AA2"/>
    <w:rsid w:val="00F05D04"/>
    <w:rsid w:val="00F2347D"/>
    <w:rsid w:val="00F24EFB"/>
    <w:rsid w:val="00F35A3E"/>
    <w:rsid w:val="00F41120"/>
    <w:rsid w:val="00F42C9B"/>
    <w:rsid w:val="00F647E4"/>
    <w:rsid w:val="00F72635"/>
    <w:rsid w:val="00FA424B"/>
    <w:rsid w:val="00FA6D12"/>
    <w:rsid w:val="00FB4A7F"/>
    <w:rsid w:val="00FC0119"/>
    <w:rsid w:val="00FC4941"/>
    <w:rsid w:val="00FD4309"/>
    <w:rsid w:val="00FD76D5"/>
    <w:rsid w:val="00FE07E6"/>
    <w:rsid w:val="00FF5FC7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2C25F"/>
  <w15:docId w15:val="{1F7E3823-B46D-4343-BE2A-92FC0555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B1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5B8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302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Normal"/>
    <w:rsid w:val="009302B8"/>
    <w:pPr>
      <w:spacing w:before="120" w:after="180" w:line="240" w:lineRule="auto"/>
    </w:pPr>
    <w:rPr>
      <w:rFonts w:ascii="Trebuchet MS" w:hAnsi="Trebuchet MS"/>
      <w:color w:val="545454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9302B8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9302B8"/>
    <w:pPr>
      <w:spacing w:after="360" w:line="240" w:lineRule="auto"/>
      <w:ind w:left="720"/>
      <w:contextualSpacing/>
    </w:pPr>
    <w:rPr>
      <w:rFonts w:ascii="Trebuchet MS" w:hAnsi="Trebuchet MS"/>
      <w:color w:val="545454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2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2B8"/>
  </w:style>
  <w:style w:type="paragraph" w:styleId="Footer">
    <w:name w:val="footer"/>
    <w:basedOn w:val="Normal"/>
    <w:link w:val="FooterChar"/>
    <w:uiPriority w:val="99"/>
    <w:unhideWhenUsed/>
    <w:rsid w:val="009302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2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2B8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53B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53B"/>
    <w:rPr>
      <w:rFonts w:asciiTheme="minorHAnsi" w:hAnsiTheme="minorHAnsi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B15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03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257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l.gatech.edu/best-practices/engaging-students/discuss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ls.gatech.edu/reflections-protests-against-racial-injust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rve-learn-sustain.gatech.edu/teaching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Jacobs</dc:creator>
  <cp:keywords/>
  <dc:description/>
  <cp:lastModifiedBy>Hull, Rebecca Watts</cp:lastModifiedBy>
  <cp:revision>87</cp:revision>
  <dcterms:created xsi:type="dcterms:W3CDTF">2023-08-28T20:50:00Z</dcterms:created>
  <dcterms:modified xsi:type="dcterms:W3CDTF">2023-08-30T20:44:00Z</dcterms:modified>
</cp:coreProperties>
</file>