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87"/>
        <w:gridCol w:w="2213"/>
        <w:gridCol w:w="2406"/>
        <w:gridCol w:w="2324"/>
      </w:tblGrid>
      <w:tr w:rsidR="003066BD" w:rsidRPr="003066BD" w14:paraId="7002C261" w14:textId="77777777" w:rsidTr="003860B9">
        <w:trPr>
          <w:jc w:val="center"/>
        </w:trPr>
        <w:tc>
          <w:tcPr>
            <w:tcW w:w="2432" w:type="dxa"/>
            <w:tcBorders>
              <w:top w:val="single" w:sz="12" w:space="0" w:color="auto"/>
              <w:left w:val="single" w:sz="12" w:space="0" w:color="auto"/>
              <w:bottom w:val="single" w:sz="12" w:space="0" w:color="auto"/>
              <w:right w:val="single" w:sz="12" w:space="0" w:color="auto"/>
            </w:tcBorders>
          </w:tcPr>
          <w:p w14:paraId="7002C25F" w14:textId="77777777" w:rsidR="009302B8" w:rsidRPr="003066BD" w:rsidRDefault="009302B8" w:rsidP="009E637D">
            <w:pPr>
              <w:spacing w:before="240" w:after="240"/>
              <w:jc w:val="center"/>
              <w:rPr>
                <w:rFonts w:ascii="Arial" w:hAnsi="Arial" w:cs="Arial"/>
              </w:rPr>
            </w:pPr>
            <w:bookmarkStart w:id="0" w:name="_Hlk514239835"/>
            <w:r w:rsidRPr="003066BD">
              <w:rPr>
                <w:rFonts w:ascii="Arial" w:hAnsi="Arial" w:cs="Arial"/>
                <w:noProof/>
              </w:rPr>
              <w:drawing>
                <wp:inline distT="0" distB="0" distL="0" distR="0" wp14:anchorId="7002C273" wp14:editId="7002C274">
                  <wp:extent cx="1030014" cy="866775"/>
                  <wp:effectExtent l="0" t="0" r="0" b="0"/>
                  <wp:docPr id="14" name="Picture 14"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144" w:type="dxa"/>
            <w:gridSpan w:val="3"/>
            <w:tcBorders>
              <w:top w:val="single" w:sz="12" w:space="0" w:color="auto"/>
              <w:left w:val="single" w:sz="12" w:space="0" w:color="auto"/>
              <w:bottom w:val="single" w:sz="12" w:space="0" w:color="auto"/>
              <w:right w:val="single" w:sz="12" w:space="0" w:color="auto"/>
            </w:tcBorders>
            <w:vAlign w:val="center"/>
          </w:tcPr>
          <w:p w14:paraId="7002C260" w14:textId="26B7FE3B" w:rsidR="009302B8" w:rsidRPr="003066BD" w:rsidRDefault="008F0E81" w:rsidP="009E637D">
            <w:pPr>
              <w:jc w:val="center"/>
              <w:rPr>
                <w:rFonts w:ascii="Georgia" w:hAnsi="Georgia" w:cs="Arial"/>
              </w:rPr>
            </w:pPr>
            <w:r>
              <w:rPr>
                <w:rFonts w:ascii="Georgia" w:hAnsi="Georgia" w:cs="Arial"/>
                <w:b/>
                <w:bCs/>
                <w:sz w:val="40"/>
                <w:szCs w:val="40"/>
              </w:rPr>
              <w:t>Winn</w:t>
            </w:r>
            <w:r w:rsidR="00C20A75" w:rsidRPr="007368D0">
              <w:rPr>
                <w:rFonts w:ascii="Georgia" w:hAnsi="Georgia" w:cs="Arial"/>
                <w:b/>
                <w:bCs/>
                <w:sz w:val="40"/>
                <w:szCs w:val="40"/>
              </w:rPr>
              <w:t>ing Change on Campus:</w:t>
            </w:r>
            <w:r w:rsidR="00C20A75">
              <w:rPr>
                <w:rFonts w:ascii="Georgia" w:hAnsi="Georgia" w:cs="Arial"/>
                <w:sz w:val="40"/>
                <w:szCs w:val="40"/>
              </w:rPr>
              <w:t xml:space="preserve"> </w:t>
            </w:r>
            <w:r w:rsidR="00C20A75" w:rsidRPr="007368D0">
              <w:rPr>
                <w:rFonts w:ascii="Georgia" w:hAnsi="Georgia" w:cs="Arial"/>
                <w:sz w:val="36"/>
                <w:szCs w:val="36"/>
              </w:rPr>
              <w:t xml:space="preserve">A </w:t>
            </w:r>
            <w:r w:rsidR="00383ED4">
              <w:rPr>
                <w:rFonts w:ascii="Georgia" w:hAnsi="Georgia" w:cs="Arial"/>
                <w:sz w:val="36"/>
                <w:szCs w:val="36"/>
              </w:rPr>
              <w:t>Teaching Case</w:t>
            </w:r>
            <w:r w:rsidR="00C20A75" w:rsidRPr="007368D0">
              <w:rPr>
                <w:rFonts w:ascii="Georgia" w:hAnsi="Georgia" w:cs="Arial"/>
                <w:sz w:val="36"/>
                <w:szCs w:val="36"/>
              </w:rPr>
              <w:t xml:space="preserve"> of </w:t>
            </w:r>
            <w:r w:rsidR="007368D0" w:rsidRPr="007368D0">
              <w:rPr>
                <w:rFonts w:ascii="Georgia" w:hAnsi="Georgia" w:cs="Arial"/>
                <w:sz w:val="36"/>
                <w:szCs w:val="36"/>
              </w:rPr>
              <w:t>Advocacy to Remove the Special Institutional Fee at Georgia Tech</w:t>
            </w:r>
          </w:p>
        </w:tc>
      </w:tr>
      <w:tr w:rsidR="003066BD" w:rsidRPr="003066BD" w14:paraId="7002C266" w14:textId="77777777" w:rsidTr="003860B9">
        <w:trPr>
          <w:trHeight w:val="1068"/>
          <w:jc w:val="center"/>
        </w:trPr>
        <w:tc>
          <w:tcPr>
            <w:tcW w:w="2432" w:type="dxa"/>
            <w:tcBorders>
              <w:top w:val="single" w:sz="12" w:space="0" w:color="auto"/>
              <w:left w:val="single" w:sz="12" w:space="0" w:color="auto"/>
              <w:right w:val="single" w:sz="12" w:space="0" w:color="auto"/>
            </w:tcBorders>
            <w:vAlign w:val="center"/>
          </w:tcPr>
          <w:p w14:paraId="7002C262" w14:textId="419B4FD7" w:rsidR="009238A2" w:rsidRPr="003066BD" w:rsidRDefault="009238A2" w:rsidP="009238A2">
            <w:pPr>
              <w:pStyle w:val="Box"/>
              <w:jc w:val="center"/>
              <w:rPr>
                <w:rFonts w:ascii="Arial" w:hAnsi="Arial" w:cs="Arial"/>
                <w:b/>
                <w:color w:val="auto"/>
                <w:sz w:val="24"/>
              </w:rPr>
            </w:pPr>
            <w:r w:rsidRPr="003066BD">
              <w:rPr>
                <w:rFonts w:ascii="Georgia" w:hAnsi="Georgia" w:cs="Arial"/>
                <w:b/>
                <w:color w:val="auto"/>
                <w:sz w:val="24"/>
              </w:rPr>
              <w:t>Discipline:</w:t>
            </w:r>
            <w:r w:rsidR="00EF2AA2">
              <w:rPr>
                <w:rFonts w:ascii="Georgia" w:hAnsi="Georgia" w:cs="Arial"/>
                <w:b/>
                <w:color w:val="auto"/>
                <w:sz w:val="24"/>
              </w:rPr>
              <w:t xml:space="preserve"> </w:t>
            </w:r>
            <w:r w:rsidR="00EF2AA2" w:rsidRPr="00EF2AA2">
              <w:rPr>
                <w:rFonts w:ascii="Georgia" w:hAnsi="Georgia" w:cs="Arial"/>
                <w:bCs/>
                <w:color w:val="auto"/>
                <w:sz w:val="24"/>
              </w:rPr>
              <w:t>all</w:t>
            </w:r>
            <w:r w:rsidRPr="00EF2AA2">
              <w:rPr>
                <w:rFonts w:ascii="Arial" w:hAnsi="Arial" w:cs="Arial"/>
                <w:bCs/>
                <w:color w:val="auto"/>
                <w:sz w:val="24"/>
              </w:rPr>
              <w:t xml:space="preserve"> </w:t>
            </w:r>
          </w:p>
        </w:tc>
        <w:tc>
          <w:tcPr>
            <w:tcW w:w="2320" w:type="dxa"/>
            <w:tcBorders>
              <w:top w:val="single" w:sz="12" w:space="0" w:color="auto"/>
              <w:left w:val="single" w:sz="12" w:space="0" w:color="auto"/>
              <w:bottom w:val="single" w:sz="12" w:space="0" w:color="auto"/>
              <w:right w:val="single" w:sz="12" w:space="0" w:color="auto"/>
            </w:tcBorders>
            <w:vAlign w:val="center"/>
          </w:tcPr>
          <w:p w14:paraId="7002C263" w14:textId="267FB15B" w:rsidR="009238A2" w:rsidRPr="003066BD" w:rsidRDefault="009238A2" w:rsidP="009238A2">
            <w:pPr>
              <w:pStyle w:val="Box"/>
              <w:jc w:val="center"/>
              <w:rPr>
                <w:rFonts w:ascii="Arial" w:hAnsi="Arial" w:cs="Arial"/>
                <w:b/>
                <w:color w:val="auto"/>
                <w:sz w:val="24"/>
              </w:rPr>
            </w:pPr>
            <w:r w:rsidRPr="003066BD">
              <w:rPr>
                <w:rFonts w:ascii="Georgia" w:hAnsi="Georgia" w:cs="Arial"/>
                <w:b/>
                <w:color w:val="auto"/>
                <w:sz w:val="24"/>
              </w:rPr>
              <w:t xml:space="preserve">Type: </w:t>
            </w:r>
            <w:r w:rsidR="00EF2AA2" w:rsidRPr="00EF2AA2">
              <w:rPr>
                <w:rFonts w:ascii="Georgia" w:hAnsi="Georgia" w:cs="Arial"/>
                <w:bCs/>
                <w:color w:val="auto"/>
                <w:sz w:val="24"/>
              </w:rPr>
              <w:t>Case Study</w:t>
            </w:r>
          </w:p>
        </w:tc>
        <w:tc>
          <w:tcPr>
            <w:tcW w:w="2444" w:type="dxa"/>
            <w:tcBorders>
              <w:top w:val="single" w:sz="12" w:space="0" w:color="auto"/>
              <w:left w:val="single" w:sz="12" w:space="0" w:color="auto"/>
              <w:bottom w:val="single" w:sz="12" w:space="0" w:color="auto"/>
              <w:right w:val="single" w:sz="12" w:space="0" w:color="auto"/>
            </w:tcBorders>
            <w:vAlign w:val="center"/>
          </w:tcPr>
          <w:p w14:paraId="6C5CC551" w14:textId="77777777" w:rsidR="009238A2" w:rsidRDefault="009238A2" w:rsidP="009238A2">
            <w:pPr>
              <w:pStyle w:val="Box"/>
              <w:jc w:val="center"/>
              <w:rPr>
                <w:rFonts w:ascii="Arial" w:hAnsi="Arial" w:cs="Arial"/>
                <w:b/>
                <w:color w:val="auto"/>
                <w:sz w:val="24"/>
              </w:rPr>
            </w:pPr>
            <w:r w:rsidRPr="003066BD">
              <w:rPr>
                <w:rFonts w:ascii="Georgia" w:hAnsi="Georgia" w:cs="Arial"/>
                <w:b/>
                <w:color w:val="auto"/>
                <w:sz w:val="24"/>
              </w:rPr>
              <w:t>Time Commitment:</w:t>
            </w:r>
            <w:r w:rsidRPr="003066BD">
              <w:rPr>
                <w:rFonts w:ascii="Arial" w:hAnsi="Arial" w:cs="Arial"/>
                <w:b/>
                <w:color w:val="auto"/>
                <w:sz w:val="24"/>
              </w:rPr>
              <w:t xml:space="preserve"> </w:t>
            </w:r>
          </w:p>
          <w:p w14:paraId="7002C264" w14:textId="67799645" w:rsidR="00EF2AA2" w:rsidRPr="00EF2AA2" w:rsidRDefault="00EF2AA2" w:rsidP="009238A2">
            <w:pPr>
              <w:pStyle w:val="Box"/>
              <w:jc w:val="center"/>
              <w:rPr>
                <w:rFonts w:ascii="Arial" w:hAnsi="Arial" w:cs="Arial"/>
                <w:bCs/>
                <w:color w:val="auto"/>
                <w:sz w:val="24"/>
              </w:rPr>
            </w:pPr>
            <w:r w:rsidRPr="00EF2AA2">
              <w:rPr>
                <w:rFonts w:ascii="Arial" w:hAnsi="Arial" w:cs="Arial"/>
                <w:bCs/>
                <w:color w:val="auto"/>
                <w:sz w:val="24"/>
              </w:rPr>
              <w:t>One class period</w:t>
            </w:r>
          </w:p>
        </w:tc>
        <w:tc>
          <w:tcPr>
            <w:tcW w:w="2380" w:type="dxa"/>
            <w:tcBorders>
              <w:top w:val="single" w:sz="12" w:space="0" w:color="auto"/>
              <w:left w:val="single" w:sz="12" w:space="0" w:color="auto"/>
              <w:bottom w:val="single" w:sz="12" w:space="0" w:color="auto"/>
              <w:right w:val="single" w:sz="12" w:space="0" w:color="auto"/>
            </w:tcBorders>
            <w:vAlign w:val="center"/>
          </w:tcPr>
          <w:p w14:paraId="7002C265" w14:textId="3F090E31" w:rsidR="009238A2" w:rsidRPr="003066BD" w:rsidRDefault="009238A2" w:rsidP="009238A2">
            <w:pPr>
              <w:jc w:val="center"/>
              <w:rPr>
                <w:rFonts w:ascii="Arial" w:hAnsi="Arial" w:cs="Arial"/>
                <w:szCs w:val="24"/>
              </w:rPr>
            </w:pPr>
            <w:r w:rsidRPr="003066BD">
              <w:rPr>
                <w:rFonts w:ascii="Georgia" w:hAnsi="Georgia" w:cs="Arial"/>
                <w:b/>
                <w:szCs w:val="24"/>
              </w:rPr>
              <w:t>Category:</w:t>
            </w:r>
            <w:r w:rsidRPr="003066BD">
              <w:rPr>
                <w:rFonts w:ascii="Arial" w:hAnsi="Arial" w:cs="Arial"/>
                <w:b/>
                <w:szCs w:val="24"/>
              </w:rPr>
              <w:t xml:space="preserve"> </w:t>
            </w:r>
            <w:r w:rsidR="00D033C3" w:rsidRPr="00D033C3">
              <w:rPr>
                <w:rFonts w:ascii="Arial" w:hAnsi="Arial" w:cs="Arial"/>
                <w:bCs/>
                <w:szCs w:val="24"/>
              </w:rPr>
              <w:t>UN SDGs</w:t>
            </w:r>
            <w:r w:rsidR="0087628F">
              <w:rPr>
                <w:rFonts w:ascii="Arial" w:hAnsi="Arial" w:cs="Arial"/>
                <w:bCs/>
                <w:szCs w:val="24"/>
              </w:rPr>
              <w:t>, Case Studies, Sustainability in Atlanta</w:t>
            </w:r>
          </w:p>
        </w:tc>
      </w:tr>
      <w:tr w:rsidR="003066BD" w:rsidRPr="003066BD" w14:paraId="7002C26A" w14:textId="77777777" w:rsidTr="003860B9">
        <w:trPr>
          <w:trHeight w:val="422"/>
          <w:jc w:val="center"/>
        </w:trPr>
        <w:tc>
          <w:tcPr>
            <w:tcW w:w="9576" w:type="dxa"/>
            <w:gridSpan w:val="4"/>
            <w:tcBorders>
              <w:top w:val="single" w:sz="12" w:space="0" w:color="auto"/>
              <w:left w:val="single" w:sz="12" w:space="0" w:color="auto"/>
              <w:bottom w:val="single" w:sz="12" w:space="0" w:color="auto"/>
              <w:right w:val="single" w:sz="12" w:space="0" w:color="auto"/>
            </w:tcBorders>
          </w:tcPr>
          <w:p w14:paraId="7002C267" w14:textId="77777777" w:rsidR="009238A2" w:rsidRPr="003066BD" w:rsidRDefault="009238A2" w:rsidP="009238A2">
            <w:pPr>
              <w:pStyle w:val="Box"/>
              <w:spacing w:after="0"/>
              <w:rPr>
                <w:rFonts w:ascii="Georgia" w:hAnsi="Georgia" w:cs="Arial"/>
                <w:b/>
                <w:color w:val="auto"/>
                <w:sz w:val="20"/>
                <w:szCs w:val="20"/>
              </w:rPr>
            </w:pPr>
            <w:r w:rsidRPr="003066BD">
              <w:rPr>
                <w:rFonts w:ascii="Georgia" w:hAnsi="Georgia" w:cs="Arial"/>
                <w:b/>
                <w:color w:val="auto"/>
                <w:sz w:val="24"/>
              </w:rPr>
              <w:t>OVERVIEW</w:t>
            </w:r>
            <w:r w:rsidRPr="003066BD">
              <w:rPr>
                <w:rFonts w:ascii="Georgia" w:hAnsi="Georgia" w:cs="Arial"/>
                <w:b/>
                <w:color w:val="auto"/>
                <w:sz w:val="20"/>
                <w:szCs w:val="20"/>
              </w:rPr>
              <w:t>:</w:t>
            </w:r>
          </w:p>
          <w:p w14:paraId="17EF221D" w14:textId="77777777" w:rsidR="00DD11D3" w:rsidRPr="00C9771B" w:rsidRDefault="00DD11D3" w:rsidP="00DD11D3">
            <w:pPr>
              <w:spacing w:before="240" w:after="240" w:line="276" w:lineRule="auto"/>
              <w:rPr>
                <w:rFonts w:asciiTheme="minorHAnsi" w:eastAsia="Arial" w:hAnsiTheme="minorHAnsi" w:cstheme="minorHAnsi"/>
                <w:sz w:val="22"/>
                <w:lang w:val="en"/>
              </w:rPr>
            </w:pPr>
            <w:r w:rsidRPr="00C9771B">
              <w:rPr>
                <w:rFonts w:asciiTheme="minorHAnsi" w:eastAsia="Arial" w:hAnsiTheme="minorHAnsi" w:cstheme="minorHAnsi"/>
                <w:sz w:val="22"/>
                <w:lang w:val="en"/>
              </w:rPr>
              <w:t>How and why do people decide to take action when they perceive an injustice? Why do some campaigns to bring about positive social change succeed, while others fail? This case study draws on a successful campaign to end a burdensome graduate student fee at Georgia Tech (GT) to provide insights into these questions. The case study is intended to support instruction that empowers students to identify ways they can lead change on issues of concern to them--on campus, in their workplaces, and in society more broadly.</w:t>
            </w:r>
          </w:p>
          <w:p w14:paraId="7002C269" w14:textId="733CCD8E" w:rsidR="009238A2" w:rsidRPr="003066BD" w:rsidRDefault="009238A2" w:rsidP="009238A2">
            <w:pPr>
              <w:pStyle w:val="Box"/>
              <w:spacing w:after="120"/>
              <w:rPr>
                <w:rFonts w:ascii="Arial" w:hAnsi="Arial" w:cs="Arial"/>
                <w:b/>
                <w:color w:val="auto"/>
                <w:sz w:val="20"/>
                <w:szCs w:val="20"/>
                <w:u w:val="single"/>
              </w:rPr>
            </w:pPr>
            <w:r w:rsidRPr="00ED446D">
              <w:rPr>
                <w:rFonts w:asciiTheme="minorHAnsi" w:hAnsiTheme="minorHAnsi" w:cstheme="minorHAnsi"/>
                <w:color w:val="auto"/>
                <w:sz w:val="22"/>
                <w:szCs w:val="22"/>
              </w:rPr>
              <w:t xml:space="preserve">This tool was </w:t>
            </w:r>
            <w:r w:rsidR="00DD11D3" w:rsidRPr="00ED446D">
              <w:rPr>
                <w:rFonts w:asciiTheme="minorHAnsi" w:hAnsiTheme="minorHAnsi" w:cstheme="minorHAnsi"/>
                <w:color w:val="auto"/>
                <w:sz w:val="22"/>
                <w:szCs w:val="22"/>
              </w:rPr>
              <w:t xml:space="preserve">developed by </w:t>
            </w:r>
            <w:r w:rsidR="00B07CB5">
              <w:rPr>
                <w:rFonts w:asciiTheme="minorHAnsi" w:hAnsiTheme="minorHAnsi" w:cstheme="minorHAnsi"/>
                <w:color w:val="auto"/>
                <w:sz w:val="22"/>
                <w:szCs w:val="22"/>
              </w:rPr>
              <w:t xml:space="preserve">Dr. </w:t>
            </w:r>
            <w:r w:rsidR="00DD11D3" w:rsidRPr="00ED446D">
              <w:rPr>
                <w:rFonts w:asciiTheme="minorHAnsi" w:hAnsiTheme="minorHAnsi" w:cstheme="minorHAnsi"/>
                <w:color w:val="auto"/>
                <w:sz w:val="22"/>
                <w:szCs w:val="22"/>
              </w:rPr>
              <w:t xml:space="preserve">Teresa Snow and </w:t>
            </w:r>
            <w:r w:rsidR="00B07CB5">
              <w:rPr>
                <w:rFonts w:asciiTheme="minorHAnsi" w:hAnsiTheme="minorHAnsi" w:cstheme="minorHAnsi"/>
                <w:color w:val="auto"/>
                <w:sz w:val="22"/>
                <w:szCs w:val="22"/>
              </w:rPr>
              <w:t xml:space="preserve">Dr. </w:t>
            </w:r>
            <w:r w:rsidR="00DD11D3" w:rsidRPr="00ED446D">
              <w:rPr>
                <w:rFonts w:asciiTheme="minorHAnsi" w:hAnsiTheme="minorHAnsi" w:cstheme="minorHAnsi"/>
                <w:color w:val="auto"/>
                <w:sz w:val="22"/>
                <w:szCs w:val="22"/>
              </w:rPr>
              <w:t>Rebecca Watts Hull.</w:t>
            </w:r>
            <w:r w:rsidR="001F12C7" w:rsidRPr="00ED446D">
              <w:rPr>
                <w:rFonts w:asciiTheme="minorHAnsi" w:hAnsiTheme="minorHAnsi" w:cstheme="minorHAnsi"/>
                <w:color w:val="auto"/>
                <w:sz w:val="22"/>
                <w:szCs w:val="22"/>
              </w:rPr>
              <w:t xml:space="preserve"> Please contact Rebecca with any questions: rwattshull@gatech.edu.</w:t>
            </w:r>
            <w:r w:rsidRPr="003066BD">
              <w:rPr>
                <w:rFonts w:ascii="Arial" w:hAnsi="Arial" w:cs="Arial"/>
                <w:color w:val="auto"/>
                <w:sz w:val="20"/>
                <w:szCs w:val="20"/>
              </w:rPr>
              <w:t xml:space="preserve"> </w:t>
            </w:r>
          </w:p>
        </w:tc>
      </w:tr>
      <w:tr w:rsidR="003066BD" w:rsidRPr="003066BD" w14:paraId="7002C26D" w14:textId="77777777" w:rsidTr="003860B9">
        <w:trPr>
          <w:jc w:val="center"/>
        </w:trPr>
        <w:tc>
          <w:tcPr>
            <w:tcW w:w="9576" w:type="dxa"/>
            <w:gridSpan w:val="4"/>
            <w:tcBorders>
              <w:top w:val="single" w:sz="12" w:space="0" w:color="auto"/>
              <w:left w:val="single" w:sz="12" w:space="0" w:color="auto"/>
              <w:bottom w:val="single" w:sz="12" w:space="0" w:color="auto"/>
              <w:right w:val="single" w:sz="12" w:space="0" w:color="auto"/>
            </w:tcBorders>
          </w:tcPr>
          <w:p w14:paraId="7002C26B" w14:textId="77777777" w:rsidR="009238A2" w:rsidRPr="003066BD" w:rsidRDefault="009238A2" w:rsidP="00405D21">
            <w:pPr>
              <w:pStyle w:val="Box"/>
              <w:spacing w:after="120"/>
              <w:rPr>
                <w:rFonts w:ascii="Vitesse Medium" w:hAnsi="Vitesse Medium" w:cs="Arial"/>
                <w:b/>
                <w:color w:val="auto"/>
                <w:sz w:val="24"/>
              </w:rPr>
            </w:pPr>
            <w:r w:rsidRPr="003066BD">
              <w:rPr>
                <w:rFonts w:ascii="Georgia" w:hAnsi="Georgia" w:cs="Arial"/>
                <w:b/>
                <w:color w:val="auto"/>
                <w:sz w:val="24"/>
              </w:rPr>
              <w:t xml:space="preserve">INSTRUCTIONS: </w:t>
            </w:r>
          </w:p>
          <w:p w14:paraId="7002C26C" w14:textId="5A599FBC" w:rsidR="00214C06" w:rsidRPr="007141A4" w:rsidRDefault="00622EDA" w:rsidP="008847F6">
            <w:pPr>
              <w:pStyle w:val="Box"/>
              <w:spacing w:before="60" w:after="120"/>
              <w:rPr>
                <w:rFonts w:asciiTheme="minorHAnsi" w:hAnsiTheme="minorHAnsi" w:cstheme="minorHAnsi"/>
                <w:color w:val="auto"/>
                <w:sz w:val="22"/>
                <w:szCs w:val="22"/>
              </w:rPr>
            </w:pPr>
            <w:r w:rsidRPr="007141A4">
              <w:rPr>
                <w:rFonts w:asciiTheme="minorHAnsi" w:hAnsiTheme="minorHAnsi" w:cstheme="minorHAnsi"/>
                <w:color w:val="auto"/>
                <w:sz w:val="22"/>
                <w:szCs w:val="22"/>
              </w:rPr>
              <w:t xml:space="preserve">This teaching tool uses a case study to introduce students to </w:t>
            </w:r>
            <w:r w:rsidR="004155C9" w:rsidRPr="007141A4">
              <w:rPr>
                <w:rFonts w:asciiTheme="minorHAnsi" w:hAnsiTheme="minorHAnsi" w:cstheme="minorHAnsi"/>
                <w:color w:val="auto"/>
                <w:sz w:val="22"/>
                <w:szCs w:val="22"/>
              </w:rPr>
              <w:t xml:space="preserve">elements of organizing for social change on college campuses. </w:t>
            </w:r>
            <w:r w:rsidR="00920BFE" w:rsidRPr="007141A4">
              <w:rPr>
                <w:rFonts w:asciiTheme="minorHAnsi" w:hAnsiTheme="minorHAnsi" w:cstheme="minorHAnsi"/>
                <w:color w:val="auto"/>
                <w:sz w:val="22"/>
                <w:szCs w:val="22"/>
              </w:rPr>
              <w:t>The teaching case details the successful campaign at Georgia Tech to reduce and eventually eliminate the Special Institutional Fee (SIF). The case study is provided</w:t>
            </w:r>
            <w:r w:rsidRPr="007141A4">
              <w:rPr>
                <w:rFonts w:asciiTheme="minorHAnsi" w:hAnsiTheme="minorHAnsi" w:cstheme="minorHAnsi"/>
                <w:color w:val="auto"/>
                <w:sz w:val="22"/>
                <w:szCs w:val="22"/>
              </w:rPr>
              <w:t xml:space="preserve"> as a separate document for ease of distribution to students</w:t>
            </w:r>
            <w:r w:rsidR="00DA53A4" w:rsidRPr="007141A4">
              <w:rPr>
                <w:rFonts w:asciiTheme="minorHAnsi" w:hAnsiTheme="minorHAnsi" w:cstheme="minorHAnsi"/>
                <w:color w:val="auto"/>
                <w:sz w:val="22"/>
                <w:szCs w:val="22"/>
              </w:rPr>
              <w:t xml:space="preserve">, and it includes discussion questions. </w:t>
            </w:r>
            <w:r w:rsidR="00805EED" w:rsidRPr="007141A4">
              <w:rPr>
                <w:rFonts w:asciiTheme="minorHAnsi" w:hAnsiTheme="minorHAnsi" w:cstheme="minorHAnsi"/>
                <w:color w:val="auto"/>
                <w:sz w:val="22"/>
                <w:szCs w:val="22"/>
              </w:rPr>
              <w:t>This document includes instruct</w:t>
            </w:r>
            <w:r w:rsidR="00A75B3C" w:rsidRPr="007141A4">
              <w:rPr>
                <w:rFonts w:asciiTheme="minorHAnsi" w:hAnsiTheme="minorHAnsi" w:cstheme="minorHAnsi"/>
                <w:color w:val="auto"/>
                <w:sz w:val="22"/>
                <w:szCs w:val="22"/>
              </w:rPr>
              <w:t xml:space="preserve">ions for instructors, background information for your use facilitating discussion with students, and </w:t>
            </w:r>
            <w:r w:rsidR="00214C06" w:rsidRPr="007141A4">
              <w:rPr>
                <w:rFonts w:asciiTheme="minorHAnsi" w:hAnsiTheme="minorHAnsi" w:cstheme="minorHAnsi"/>
                <w:color w:val="auto"/>
                <w:sz w:val="22"/>
                <w:szCs w:val="22"/>
              </w:rPr>
              <w:t>suggestions (and links) for further reading.</w:t>
            </w:r>
          </w:p>
        </w:tc>
      </w:tr>
      <w:tr w:rsidR="003066BD" w:rsidRPr="003066BD" w14:paraId="7002C271" w14:textId="77777777" w:rsidTr="003860B9">
        <w:trPr>
          <w:jc w:val="center"/>
        </w:trPr>
        <w:tc>
          <w:tcPr>
            <w:tcW w:w="9576" w:type="dxa"/>
            <w:gridSpan w:val="4"/>
            <w:tcBorders>
              <w:top w:val="single" w:sz="12" w:space="0" w:color="auto"/>
              <w:left w:val="single" w:sz="12" w:space="0" w:color="auto"/>
              <w:bottom w:val="single" w:sz="12" w:space="0" w:color="auto"/>
              <w:right w:val="single" w:sz="12" w:space="0" w:color="auto"/>
            </w:tcBorders>
          </w:tcPr>
          <w:p w14:paraId="7002C26E" w14:textId="565D2266" w:rsidR="009238A2" w:rsidRPr="003066BD" w:rsidRDefault="009238A2" w:rsidP="009238A2">
            <w:pPr>
              <w:pStyle w:val="Box"/>
              <w:spacing w:after="0"/>
              <w:rPr>
                <w:rFonts w:ascii="Arial" w:hAnsi="Arial" w:cs="Arial"/>
                <w:color w:val="auto"/>
                <w:sz w:val="24"/>
              </w:rPr>
            </w:pPr>
            <w:r w:rsidRPr="003066BD">
              <w:rPr>
                <w:rFonts w:ascii="Georgia" w:hAnsi="Georgia" w:cs="Arial"/>
                <w:b/>
                <w:color w:val="auto"/>
                <w:sz w:val="24"/>
              </w:rPr>
              <w:t>STUDENT LEARNING OUTCOMES:</w:t>
            </w:r>
          </w:p>
          <w:p w14:paraId="7CE37117" w14:textId="66D1A708" w:rsidR="000C548B" w:rsidRPr="007141A4" w:rsidRDefault="00126420" w:rsidP="009238A2">
            <w:pPr>
              <w:pStyle w:val="Box"/>
              <w:spacing w:after="120"/>
              <w:rPr>
                <w:rFonts w:asciiTheme="minorHAnsi" w:hAnsiTheme="minorHAnsi" w:cstheme="minorHAnsi"/>
                <w:b/>
                <w:color w:val="auto"/>
                <w:sz w:val="22"/>
                <w:szCs w:val="22"/>
              </w:rPr>
            </w:pPr>
            <w:r w:rsidRPr="007141A4">
              <w:rPr>
                <w:rFonts w:asciiTheme="minorHAnsi" w:hAnsiTheme="minorHAnsi" w:cstheme="minorHAnsi"/>
                <w:b/>
                <w:color w:val="auto"/>
                <w:sz w:val="22"/>
                <w:szCs w:val="22"/>
              </w:rPr>
              <w:t xml:space="preserve">After completing this </w:t>
            </w:r>
            <w:r w:rsidR="00AA00C2" w:rsidRPr="007141A4">
              <w:rPr>
                <w:rFonts w:asciiTheme="minorHAnsi" w:hAnsiTheme="minorHAnsi" w:cstheme="minorHAnsi"/>
                <w:b/>
                <w:color w:val="auto"/>
                <w:sz w:val="22"/>
                <w:szCs w:val="22"/>
              </w:rPr>
              <w:t xml:space="preserve">teaching case assignment, </w:t>
            </w:r>
            <w:r w:rsidR="000C548B" w:rsidRPr="007141A4">
              <w:rPr>
                <w:rFonts w:asciiTheme="minorHAnsi" w:hAnsiTheme="minorHAnsi" w:cstheme="minorHAnsi"/>
                <w:b/>
                <w:color w:val="auto"/>
                <w:sz w:val="22"/>
                <w:szCs w:val="22"/>
              </w:rPr>
              <w:t>student</w:t>
            </w:r>
            <w:r w:rsidR="0084515F">
              <w:rPr>
                <w:rFonts w:asciiTheme="minorHAnsi" w:hAnsiTheme="minorHAnsi" w:cstheme="minorHAnsi"/>
                <w:b/>
                <w:color w:val="auto"/>
                <w:sz w:val="22"/>
                <w:szCs w:val="22"/>
              </w:rPr>
              <w:t>s</w:t>
            </w:r>
            <w:r w:rsidR="000C548B" w:rsidRPr="007141A4">
              <w:rPr>
                <w:rFonts w:asciiTheme="minorHAnsi" w:hAnsiTheme="minorHAnsi" w:cstheme="minorHAnsi"/>
                <w:b/>
                <w:color w:val="auto"/>
                <w:sz w:val="22"/>
                <w:szCs w:val="22"/>
              </w:rPr>
              <w:t xml:space="preserve"> will be able to:</w:t>
            </w:r>
          </w:p>
          <w:p w14:paraId="7B3BFD2A" w14:textId="5BFA7F3A" w:rsidR="003D3712" w:rsidRPr="007141A4" w:rsidRDefault="009721D6" w:rsidP="00AA00C2">
            <w:pPr>
              <w:pStyle w:val="Box"/>
              <w:numPr>
                <w:ilvl w:val="0"/>
                <w:numId w:val="8"/>
              </w:numPr>
              <w:spacing w:after="120"/>
              <w:rPr>
                <w:rFonts w:asciiTheme="minorHAnsi" w:hAnsiTheme="minorHAnsi" w:cstheme="minorHAnsi"/>
                <w:bCs/>
                <w:color w:val="auto"/>
                <w:sz w:val="22"/>
                <w:szCs w:val="22"/>
              </w:rPr>
            </w:pPr>
            <w:r>
              <w:rPr>
                <w:rFonts w:asciiTheme="minorHAnsi" w:hAnsiTheme="minorHAnsi" w:cstheme="minorHAnsi"/>
                <w:bCs/>
                <w:color w:val="auto"/>
                <w:sz w:val="22"/>
                <w:szCs w:val="22"/>
              </w:rPr>
              <w:t>Describe</w:t>
            </w:r>
            <w:r w:rsidR="003D3712" w:rsidRPr="007141A4">
              <w:rPr>
                <w:rFonts w:asciiTheme="minorHAnsi" w:hAnsiTheme="minorHAnsi" w:cstheme="minorHAnsi"/>
                <w:bCs/>
                <w:color w:val="auto"/>
                <w:sz w:val="22"/>
                <w:szCs w:val="22"/>
              </w:rPr>
              <w:t xml:space="preserve"> several examples of </w:t>
            </w:r>
            <w:r w:rsidR="00851360" w:rsidRPr="007141A4">
              <w:rPr>
                <w:rFonts w:asciiTheme="minorHAnsi" w:hAnsiTheme="minorHAnsi" w:cstheme="minorHAnsi"/>
                <w:bCs/>
                <w:color w:val="auto"/>
                <w:sz w:val="22"/>
                <w:szCs w:val="22"/>
              </w:rPr>
              <w:t xml:space="preserve">actions </w:t>
            </w:r>
            <w:r w:rsidR="003D3712" w:rsidRPr="007141A4">
              <w:rPr>
                <w:rFonts w:asciiTheme="minorHAnsi" w:hAnsiTheme="minorHAnsi" w:cstheme="minorHAnsi"/>
                <w:bCs/>
                <w:color w:val="auto"/>
                <w:sz w:val="22"/>
                <w:szCs w:val="22"/>
              </w:rPr>
              <w:t xml:space="preserve">that faculty, staff, and students </w:t>
            </w:r>
            <w:r>
              <w:rPr>
                <w:rFonts w:asciiTheme="minorHAnsi" w:hAnsiTheme="minorHAnsi" w:cstheme="minorHAnsi"/>
                <w:bCs/>
                <w:color w:val="auto"/>
                <w:sz w:val="22"/>
                <w:szCs w:val="22"/>
              </w:rPr>
              <w:t xml:space="preserve">can take to </w:t>
            </w:r>
            <w:r w:rsidR="00CD4C2F" w:rsidRPr="007141A4">
              <w:rPr>
                <w:rFonts w:asciiTheme="minorHAnsi" w:hAnsiTheme="minorHAnsi" w:cstheme="minorHAnsi"/>
                <w:bCs/>
                <w:color w:val="auto"/>
                <w:sz w:val="22"/>
                <w:szCs w:val="22"/>
              </w:rPr>
              <w:t xml:space="preserve">win a policy change </w:t>
            </w:r>
            <w:r w:rsidR="00851360" w:rsidRPr="007141A4">
              <w:rPr>
                <w:rFonts w:asciiTheme="minorHAnsi" w:hAnsiTheme="minorHAnsi" w:cstheme="minorHAnsi"/>
                <w:bCs/>
                <w:color w:val="auto"/>
                <w:sz w:val="22"/>
                <w:szCs w:val="22"/>
              </w:rPr>
              <w:t>at</w:t>
            </w:r>
            <w:r w:rsidR="00CD4C2F" w:rsidRPr="007141A4">
              <w:rPr>
                <w:rFonts w:asciiTheme="minorHAnsi" w:hAnsiTheme="minorHAnsi" w:cstheme="minorHAnsi"/>
                <w:bCs/>
                <w:color w:val="auto"/>
                <w:sz w:val="22"/>
                <w:szCs w:val="22"/>
              </w:rPr>
              <w:t xml:space="preserve"> their institution.</w:t>
            </w:r>
          </w:p>
          <w:p w14:paraId="569476C1" w14:textId="1C8025EF" w:rsidR="009B6E3C" w:rsidRPr="007141A4" w:rsidRDefault="00030E86" w:rsidP="00AA00C2">
            <w:pPr>
              <w:pStyle w:val="Box"/>
              <w:numPr>
                <w:ilvl w:val="0"/>
                <w:numId w:val="8"/>
              </w:numPr>
              <w:spacing w:after="120"/>
              <w:rPr>
                <w:rFonts w:asciiTheme="minorHAnsi" w:hAnsiTheme="minorHAnsi" w:cstheme="minorHAnsi"/>
                <w:bCs/>
                <w:color w:val="auto"/>
                <w:sz w:val="22"/>
                <w:szCs w:val="22"/>
              </w:rPr>
            </w:pPr>
            <w:r w:rsidRPr="007141A4">
              <w:rPr>
                <w:rFonts w:asciiTheme="minorHAnsi" w:hAnsiTheme="minorHAnsi" w:cstheme="minorHAnsi"/>
                <w:bCs/>
                <w:color w:val="auto"/>
                <w:sz w:val="22"/>
                <w:szCs w:val="22"/>
              </w:rPr>
              <w:t xml:space="preserve">Explain the importance of framing to </w:t>
            </w:r>
            <w:r w:rsidR="003D3712" w:rsidRPr="007141A4">
              <w:rPr>
                <w:rFonts w:asciiTheme="minorHAnsi" w:hAnsiTheme="minorHAnsi" w:cstheme="minorHAnsi"/>
                <w:bCs/>
                <w:color w:val="auto"/>
                <w:sz w:val="22"/>
                <w:szCs w:val="22"/>
              </w:rPr>
              <w:t>campaigns for social change.</w:t>
            </w:r>
          </w:p>
          <w:p w14:paraId="2B4C88B7" w14:textId="32E4BFE7" w:rsidR="002802C5" w:rsidRPr="007141A4" w:rsidRDefault="002802C5" w:rsidP="00AA00C2">
            <w:pPr>
              <w:pStyle w:val="Box"/>
              <w:numPr>
                <w:ilvl w:val="0"/>
                <w:numId w:val="8"/>
              </w:numPr>
              <w:spacing w:after="120"/>
              <w:rPr>
                <w:rFonts w:asciiTheme="minorHAnsi" w:hAnsiTheme="minorHAnsi" w:cstheme="minorHAnsi"/>
                <w:bCs/>
                <w:color w:val="auto"/>
                <w:sz w:val="22"/>
                <w:szCs w:val="22"/>
              </w:rPr>
            </w:pPr>
            <w:r w:rsidRPr="007141A4">
              <w:rPr>
                <w:rFonts w:asciiTheme="minorHAnsi" w:hAnsiTheme="minorHAnsi" w:cstheme="minorHAnsi"/>
                <w:bCs/>
                <w:color w:val="auto"/>
                <w:sz w:val="22"/>
                <w:szCs w:val="22"/>
              </w:rPr>
              <w:t>Identify at least one kind of role they are excited to take on to contribute to positive social change on campus, in their workplace, or in their community.</w:t>
            </w:r>
          </w:p>
          <w:p w14:paraId="7002C270" w14:textId="67CA4A62" w:rsidR="00177E21" w:rsidRPr="00177E21" w:rsidRDefault="00177E21" w:rsidP="009B6E3C">
            <w:pPr>
              <w:pStyle w:val="Box"/>
              <w:spacing w:after="120"/>
              <w:rPr>
                <w:rFonts w:ascii="Arial" w:hAnsi="Arial" w:cs="Arial"/>
                <w:bCs/>
                <w:color w:val="auto"/>
                <w:sz w:val="20"/>
                <w:szCs w:val="20"/>
              </w:rPr>
            </w:pPr>
          </w:p>
        </w:tc>
      </w:tr>
      <w:bookmarkEnd w:id="0"/>
    </w:tbl>
    <w:p w14:paraId="48DA1825" w14:textId="77777777" w:rsidR="00214C06" w:rsidRDefault="00214C06" w:rsidP="00C9771B">
      <w:pPr>
        <w:spacing w:before="240" w:after="240" w:line="276" w:lineRule="auto"/>
        <w:rPr>
          <w:rFonts w:ascii="Arial" w:eastAsia="Arial" w:hAnsi="Arial" w:cs="Arial"/>
          <w:b/>
          <w:bCs/>
          <w:sz w:val="22"/>
          <w:lang w:val="en"/>
        </w:rPr>
      </w:pPr>
    </w:p>
    <w:p w14:paraId="7876091A" w14:textId="4DBEECA7" w:rsidR="00214C06" w:rsidRPr="00ED446D" w:rsidRDefault="003926C2" w:rsidP="00C9771B">
      <w:pPr>
        <w:spacing w:before="240" w:after="240" w:line="276" w:lineRule="auto"/>
        <w:rPr>
          <w:rFonts w:ascii="Arial" w:eastAsia="Arial" w:hAnsi="Arial" w:cs="Arial"/>
          <w:b/>
          <w:bCs/>
          <w:sz w:val="22"/>
          <w:lang w:val="en"/>
        </w:rPr>
      </w:pPr>
      <w:r w:rsidRPr="00ED446D">
        <w:rPr>
          <w:rFonts w:ascii="Arial" w:eastAsia="Arial" w:hAnsi="Arial" w:cs="Arial"/>
          <w:b/>
          <w:bCs/>
          <w:sz w:val="22"/>
          <w:lang w:val="en"/>
        </w:rPr>
        <w:lastRenderedPageBreak/>
        <w:t>Tool Instructions:</w:t>
      </w:r>
    </w:p>
    <w:p w14:paraId="5ECD5FC3" w14:textId="7AD9A4A9" w:rsidR="00214C06" w:rsidRPr="00ED446D" w:rsidRDefault="008C7A3E" w:rsidP="00C35C51">
      <w:pPr>
        <w:pStyle w:val="ListParagraph"/>
        <w:numPr>
          <w:ilvl w:val="0"/>
          <w:numId w:val="9"/>
        </w:numPr>
        <w:snapToGrid w:val="0"/>
        <w:spacing w:before="240" w:after="240" w:line="276" w:lineRule="auto"/>
        <w:contextualSpacing w:val="0"/>
        <w:rPr>
          <w:rFonts w:ascii="Arial" w:eastAsia="Arial" w:hAnsi="Arial" w:cs="Arial"/>
          <w:color w:val="000000" w:themeColor="text1"/>
          <w:sz w:val="22"/>
          <w:szCs w:val="22"/>
          <w:lang w:val="en"/>
        </w:rPr>
      </w:pPr>
      <w:r w:rsidRPr="00ED446D">
        <w:rPr>
          <w:rFonts w:ascii="Arial" w:eastAsia="Arial" w:hAnsi="Arial" w:cs="Arial"/>
          <w:color w:val="000000" w:themeColor="text1"/>
          <w:sz w:val="22"/>
          <w:szCs w:val="22"/>
          <w:lang w:val="en"/>
        </w:rPr>
        <w:t xml:space="preserve">Assign the </w:t>
      </w:r>
      <w:hyperlink r:id="rId8" w:history="1">
        <w:r w:rsidRPr="00154973">
          <w:rPr>
            <w:rStyle w:val="Hyperlink"/>
            <w:rFonts w:ascii="Arial" w:eastAsia="Arial" w:hAnsi="Arial" w:cs="Arial"/>
            <w:sz w:val="22"/>
            <w:szCs w:val="22"/>
            <w:lang w:val="en"/>
          </w:rPr>
          <w:t>SIF Case Study</w:t>
        </w:r>
      </w:hyperlink>
      <w:r w:rsidRPr="00ED446D">
        <w:rPr>
          <w:rFonts w:ascii="Arial" w:eastAsia="Arial" w:hAnsi="Arial" w:cs="Arial"/>
          <w:color w:val="000000" w:themeColor="text1"/>
          <w:sz w:val="22"/>
          <w:szCs w:val="22"/>
          <w:lang w:val="en"/>
        </w:rPr>
        <w:t xml:space="preserve"> as homework. It is likely to take </w:t>
      </w:r>
      <w:r w:rsidR="00935317" w:rsidRPr="00ED446D">
        <w:rPr>
          <w:rFonts w:ascii="Arial" w:eastAsia="Arial" w:hAnsi="Arial" w:cs="Arial"/>
          <w:color w:val="000000" w:themeColor="text1"/>
          <w:sz w:val="22"/>
          <w:szCs w:val="22"/>
          <w:lang w:val="en"/>
        </w:rPr>
        <w:t>about</w:t>
      </w:r>
      <w:r w:rsidRPr="00ED446D">
        <w:rPr>
          <w:rFonts w:ascii="Arial" w:eastAsia="Arial" w:hAnsi="Arial" w:cs="Arial"/>
          <w:color w:val="000000" w:themeColor="text1"/>
          <w:sz w:val="22"/>
          <w:szCs w:val="22"/>
          <w:lang w:val="en"/>
        </w:rPr>
        <w:t xml:space="preserve"> 20-30 minutes to read.</w:t>
      </w:r>
    </w:p>
    <w:p w14:paraId="4C23352A" w14:textId="27616E0C" w:rsidR="008C7A3E" w:rsidRPr="00ED446D" w:rsidRDefault="008C7A3E" w:rsidP="00C35C51">
      <w:pPr>
        <w:pStyle w:val="ListParagraph"/>
        <w:numPr>
          <w:ilvl w:val="0"/>
          <w:numId w:val="9"/>
        </w:numPr>
        <w:snapToGrid w:val="0"/>
        <w:spacing w:before="240" w:after="240" w:line="276" w:lineRule="auto"/>
        <w:contextualSpacing w:val="0"/>
        <w:rPr>
          <w:rFonts w:ascii="Arial" w:eastAsia="Arial" w:hAnsi="Arial" w:cs="Arial"/>
          <w:color w:val="000000" w:themeColor="text1"/>
          <w:sz w:val="22"/>
          <w:szCs w:val="22"/>
          <w:lang w:val="en"/>
        </w:rPr>
      </w:pPr>
      <w:r w:rsidRPr="00ED446D">
        <w:rPr>
          <w:rFonts w:ascii="Arial" w:eastAsia="Arial" w:hAnsi="Arial" w:cs="Arial"/>
          <w:color w:val="000000" w:themeColor="text1"/>
          <w:sz w:val="22"/>
          <w:szCs w:val="22"/>
          <w:lang w:val="en"/>
        </w:rPr>
        <w:t>If your course us</w:t>
      </w:r>
      <w:r w:rsidR="00DC1C87" w:rsidRPr="00ED446D">
        <w:rPr>
          <w:rFonts w:ascii="Arial" w:eastAsia="Arial" w:hAnsi="Arial" w:cs="Arial"/>
          <w:color w:val="000000" w:themeColor="text1"/>
          <w:sz w:val="22"/>
          <w:szCs w:val="22"/>
          <w:lang w:val="en"/>
        </w:rPr>
        <w:t>es</w:t>
      </w:r>
      <w:r w:rsidRPr="00ED446D">
        <w:rPr>
          <w:rFonts w:ascii="Arial" w:eastAsia="Arial" w:hAnsi="Arial" w:cs="Arial"/>
          <w:color w:val="000000" w:themeColor="text1"/>
          <w:sz w:val="22"/>
          <w:szCs w:val="22"/>
          <w:lang w:val="en"/>
        </w:rPr>
        <w:t xml:space="preserve"> a particular platform for </w:t>
      </w:r>
      <w:r w:rsidR="008D123B" w:rsidRPr="00ED446D">
        <w:rPr>
          <w:rFonts w:ascii="Arial" w:eastAsia="Arial" w:hAnsi="Arial" w:cs="Arial"/>
          <w:color w:val="000000" w:themeColor="text1"/>
          <w:sz w:val="22"/>
          <w:szCs w:val="22"/>
          <w:lang w:val="en"/>
        </w:rPr>
        <w:t>reading</w:t>
      </w:r>
      <w:r w:rsidR="00DC1C87" w:rsidRPr="00ED446D">
        <w:rPr>
          <w:rFonts w:ascii="Arial" w:eastAsia="Arial" w:hAnsi="Arial" w:cs="Arial"/>
          <w:color w:val="000000" w:themeColor="text1"/>
          <w:sz w:val="22"/>
          <w:szCs w:val="22"/>
          <w:lang w:val="en"/>
        </w:rPr>
        <w:t xml:space="preserve"> responses</w:t>
      </w:r>
      <w:r w:rsidR="008D123B" w:rsidRPr="00ED446D">
        <w:rPr>
          <w:rFonts w:ascii="Arial" w:eastAsia="Arial" w:hAnsi="Arial" w:cs="Arial"/>
          <w:color w:val="000000" w:themeColor="text1"/>
          <w:sz w:val="22"/>
          <w:szCs w:val="22"/>
          <w:lang w:val="en"/>
        </w:rPr>
        <w:t xml:space="preserve"> (</w:t>
      </w:r>
      <w:proofErr w:type="spellStart"/>
      <w:r w:rsidR="008D123B" w:rsidRPr="00ED446D">
        <w:rPr>
          <w:rFonts w:ascii="Arial" w:eastAsia="Arial" w:hAnsi="Arial" w:cs="Arial"/>
          <w:color w:val="000000" w:themeColor="text1"/>
          <w:sz w:val="22"/>
          <w:szCs w:val="22"/>
          <w:lang w:val="en"/>
        </w:rPr>
        <w:t>Perusall</w:t>
      </w:r>
      <w:proofErr w:type="spellEnd"/>
      <w:r w:rsidR="008D123B" w:rsidRPr="00ED446D">
        <w:rPr>
          <w:rFonts w:ascii="Arial" w:eastAsia="Arial" w:hAnsi="Arial" w:cs="Arial"/>
          <w:color w:val="000000" w:themeColor="text1"/>
          <w:sz w:val="22"/>
          <w:szCs w:val="22"/>
          <w:lang w:val="en"/>
        </w:rPr>
        <w:t xml:space="preserve">, Ed Discussion, Padlet, etc.), </w:t>
      </w:r>
      <w:r w:rsidR="006B7E68" w:rsidRPr="00ED446D">
        <w:rPr>
          <w:rFonts w:ascii="Arial" w:eastAsia="Arial" w:hAnsi="Arial" w:cs="Arial"/>
          <w:color w:val="000000" w:themeColor="text1"/>
          <w:sz w:val="22"/>
          <w:szCs w:val="22"/>
          <w:lang w:val="en"/>
        </w:rPr>
        <w:t>direct students to respond to at least two of the discussion questions</w:t>
      </w:r>
      <w:r w:rsidR="00BC6FD6" w:rsidRPr="00ED446D">
        <w:rPr>
          <w:rFonts w:ascii="Arial" w:eastAsia="Arial" w:hAnsi="Arial" w:cs="Arial"/>
          <w:color w:val="000000" w:themeColor="text1"/>
          <w:sz w:val="22"/>
          <w:szCs w:val="22"/>
          <w:lang w:val="en"/>
        </w:rPr>
        <w:t xml:space="preserve"> on that platform before they come to class. If you do not typically use a discussion </w:t>
      </w:r>
      <w:r w:rsidR="00577946" w:rsidRPr="00ED446D">
        <w:rPr>
          <w:rFonts w:ascii="Arial" w:eastAsia="Arial" w:hAnsi="Arial" w:cs="Arial"/>
          <w:color w:val="000000" w:themeColor="text1"/>
          <w:sz w:val="22"/>
          <w:szCs w:val="22"/>
          <w:lang w:val="en"/>
        </w:rPr>
        <w:t>tool</w:t>
      </w:r>
      <w:r w:rsidR="00BC6FD6" w:rsidRPr="00ED446D">
        <w:rPr>
          <w:rFonts w:ascii="Arial" w:eastAsia="Arial" w:hAnsi="Arial" w:cs="Arial"/>
          <w:color w:val="000000" w:themeColor="text1"/>
          <w:sz w:val="22"/>
          <w:szCs w:val="22"/>
          <w:lang w:val="en"/>
        </w:rPr>
        <w:t xml:space="preserve"> in this way, you might set up an assignment in Canvas </w:t>
      </w:r>
      <w:r w:rsidR="00577946" w:rsidRPr="00ED446D">
        <w:rPr>
          <w:rFonts w:ascii="Arial" w:eastAsia="Arial" w:hAnsi="Arial" w:cs="Arial"/>
          <w:color w:val="000000" w:themeColor="text1"/>
          <w:sz w:val="22"/>
          <w:szCs w:val="22"/>
          <w:lang w:val="en"/>
        </w:rPr>
        <w:t>and have students</w:t>
      </w:r>
      <w:r w:rsidR="00BC6FD6" w:rsidRPr="00ED446D">
        <w:rPr>
          <w:rFonts w:ascii="Arial" w:eastAsia="Arial" w:hAnsi="Arial" w:cs="Arial"/>
          <w:color w:val="000000" w:themeColor="text1"/>
          <w:sz w:val="22"/>
          <w:szCs w:val="22"/>
          <w:lang w:val="en"/>
        </w:rPr>
        <w:t xml:space="preserve"> post a short response to at least two questions.</w:t>
      </w:r>
      <w:r w:rsidR="00577946" w:rsidRPr="00ED446D">
        <w:rPr>
          <w:rFonts w:ascii="Arial" w:eastAsia="Arial" w:hAnsi="Arial" w:cs="Arial"/>
          <w:color w:val="000000" w:themeColor="text1"/>
          <w:sz w:val="22"/>
          <w:szCs w:val="22"/>
          <w:lang w:val="en"/>
        </w:rPr>
        <w:t xml:space="preserve"> This step will make it more likely that students come to class prepared for the group discussion.</w:t>
      </w:r>
    </w:p>
    <w:p w14:paraId="20616A2B" w14:textId="06F549F6" w:rsidR="00610718" w:rsidRPr="00ED446D" w:rsidRDefault="00245FBE" w:rsidP="00C35C51">
      <w:pPr>
        <w:pStyle w:val="ListParagraph"/>
        <w:numPr>
          <w:ilvl w:val="0"/>
          <w:numId w:val="9"/>
        </w:numPr>
        <w:snapToGrid w:val="0"/>
        <w:spacing w:before="240" w:after="240" w:line="276" w:lineRule="auto"/>
        <w:contextualSpacing w:val="0"/>
        <w:rPr>
          <w:rFonts w:ascii="Arial" w:eastAsia="Arial" w:hAnsi="Arial" w:cs="Arial"/>
          <w:color w:val="000000" w:themeColor="text1"/>
          <w:sz w:val="22"/>
          <w:szCs w:val="22"/>
          <w:lang w:val="en"/>
        </w:rPr>
      </w:pPr>
      <w:r w:rsidRPr="00ED446D">
        <w:rPr>
          <w:rFonts w:ascii="Arial" w:eastAsia="Arial" w:hAnsi="Arial" w:cs="Arial"/>
          <w:color w:val="000000" w:themeColor="text1"/>
          <w:sz w:val="22"/>
          <w:szCs w:val="22"/>
          <w:lang w:val="en"/>
        </w:rPr>
        <w:t xml:space="preserve">Open the class discussion by inviting students to </w:t>
      </w:r>
      <w:r w:rsidR="00211B1E" w:rsidRPr="00ED446D">
        <w:rPr>
          <w:rFonts w:ascii="Arial" w:eastAsia="Arial" w:hAnsi="Arial" w:cs="Arial"/>
          <w:color w:val="000000" w:themeColor="text1"/>
          <w:sz w:val="22"/>
          <w:szCs w:val="22"/>
          <w:lang w:val="en"/>
        </w:rPr>
        <w:t>share their thoughts about</w:t>
      </w:r>
      <w:r w:rsidRPr="00ED446D">
        <w:rPr>
          <w:rFonts w:ascii="Arial" w:eastAsia="Arial" w:hAnsi="Arial" w:cs="Arial"/>
          <w:color w:val="000000" w:themeColor="text1"/>
          <w:sz w:val="22"/>
          <w:szCs w:val="22"/>
          <w:lang w:val="en"/>
        </w:rPr>
        <w:t xml:space="preserve"> your reason for assigning the case study. </w:t>
      </w:r>
      <w:r w:rsidR="00FC0119" w:rsidRPr="00ED446D">
        <w:rPr>
          <w:rFonts w:ascii="Arial" w:eastAsia="Arial" w:hAnsi="Arial" w:cs="Arial"/>
          <w:color w:val="000000" w:themeColor="text1"/>
          <w:sz w:val="22"/>
          <w:szCs w:val="22"/>
          <w:lang w:val="en"/>
        </w:rPr>
        <w:t xml:space="preserve">What is the connection between the course content and </w:t>
      </w:r>
      <w:r w:rsidR="00FE07E6" w:rsidRPr="00ED446D">
        <w:rPr>
          <w:rFonts w:ascii="Arial" w:eastAsia="Arial" w:hAnsi="Arial" w:cs="Arial"/>
          <w:color w:val="000000" w:themeColor="text1"/>
          <w:sz w:val="22"/>
          <w:szCs w:val="22"/>
          <w:lang w:val="en"/>
        </w:rPr>
        <w:t>a case study about leading change on campus? Have them reflect on</w:t>
      </w:r>
      <w:r w:rsidRPr="00ED446D">
        <w:rPr>
          <w:rFonts w:ascii="Arial" w:eastAsia="Arial" w:hAnsi="Arial" w:cs="Arial"/>
          <w:color w:val="000000" w:themeColor="text1"/>
          <w:sz w:val="22"/>
          <w:szCs w:val="22"/>
          <w:lang w:val="en"/>
        </w:rPr>
        <w:t xml:space="preserve"> </w:t>
      </w:r>
      <w:r w:rsidR="0042332F" w:rsidRPr="00ED446D">
        <w:rPr>
          <w:rFonts w:ascii="Arial" w:eastAsia="Arial" w:hAnsi="Arial" w:cs="Arial"/>
          <w:color w:val="000000" w:themeColor="text1"/>
          <w:sz w:val="22"/>
          <w:szCs w:val="22"/>
          <w:lang w:val="en"/>
        </w:rPr>
        <w:t xml:space="preserve">what they would choose to </w:t>
      </w:r>
      <w:r w:rsidR="00FE07E6" w:rsidRPr="00ED446D">
        <w:rPr>
          <w:rFonts w:ascii="Arial" w:eastAsia="Arial" w:hAnsi="Arial" w:cs="Arial"/>
          <w:color w:val="000000" w:themeColor="text1"/>
          <w:sz w:val="22"/>
          <w:szCs w:val="22"/>
          <w:lang w:val="en"/>
        </w:rPr>
        <w:t>tackle</w:t>
      </w:r>
      <w:r w:rsidR="0042332F" w:rsidRPr="00ED446D">
        <w:rPr>
          <w:rFonts w:ascii="Arial" w:eastAsia="Arial" w:hAnsi="Arial" w:cs="Arial"/>
          <w:color w:val="000000" w:themeColor="text1"/>
          <w:sz w:val="22"/>
          <w:szCs w:val="22"/>
          <w:lang w:val="en"/>
        </w:rPr>
        <w:t>, if they were work</w:t>
      </w:r>
      <w:r w:rsidR="007169C6">
        <w:rPr>
          <w:rFonts w:ascii="Arial" w:eastAsia="Arial" w:hAnsi="Arial" w:cs="Arial"/>
          <w:color w:val="000000" w:themeColor="text1"/>
          <w:sz w:val="22"/>
          <w:szCs w:val="22"/>
          <w:lang w:val="en"/>
        </w:rPr>
        <w:t>ing</w:t>
      </w:r>
      <w:r w:rsidR="0042332F" w:rsidRPr="00ED446D">
        <w:rPr>
          <w:rFonts w:ascii="Arial" w:eastAsia="Arial" w:hAnsi="Arial" w:cs="Arial"/>
          <w:color w:val="000000" w:themeColor="text1"/>
          <w:sz w:val="22"/>
          <w:szCs w:val="22"/>
          <w:lang w:val="en"/>
        </w:rPr>
        <w:t xml:space="preserve"> with others to change a policy or practice at Georgia Tech.</w:t>
      </w:r>
    </w:p>
    <w:p w14:paraId="5E3FC09B" w14:textId="43E5D53B" w:rsidR="0042332F" w:rsidRDefault="003914C5" w:rsidP="00C35C51">
      <w:pPr>
        <w:pStyle w:val="ListParagraph"/>
        <w:numPr>
          <w:ilvl w:val="0"/>
          <w:numId w:val="9"/>
        </w:numPr>
        <w:snapToGrid w:val="0"/>
        <w:spacing w:before="240" w:after="240" w:line="276" w:lineRule="auto"/>
        <w:contextualSpacing w:val="0"/>
        <w:rPr>
          <w:rFonts w:ascii="Arial" w:eastAsia="Arial" w:hAnsi="Arial" w:cs="Arial"/>
          <w:color w:val="000000" w:themeColor="text1"/>
          <w:sz w:val="22"/>
          <w:szCs w:val="22"/>
          <w:lang w:val="en"/>
        </w:rPr>
      </w:pPr>
      <w:r w:rsidRPr="00ED446D">
        <w:rPr>
          <w:rFonts w:ascii="Arial" w:eastAsia="Arial" w:hAnsi="Arial" w:cs="Arial"/>
          <w:color w:val="000000" w:themeColor="text1"/>
          <w:sz w:val="22"/>
          <w:szCs w:val="22"/>
          <w:lang w:val="en"/>
        </w:rPr>
        <w:t xml:space="preserve">Depending upon class size and dynamics, lead small or </w:t>
      </w:r>
      <w:r w:rsidR="00D83E82" w:rsidRPr="00ED446D">
        <w:rPr>
          <w:rFonts w:ascii="Arial" w:eastAsia="Arial" w:hAnsi="Arial" w:cs="Arial"/>
          <w:color w:val="000000" w:themeColor="text1"/>
          <w:sz w:val="22"/>
          <w:szCs w:val="22"/>
          <w:lang w:val="en"/>
        </w:rPr>
        <w:t xml:space="preserve">a </w:t>
      </w:r>
      <w:r w:rsidRPr="00ED446D">
        <w:rPr>
          <w:rFonts w:ascii="Arial" w:eastAsia="Arial" w:hAnsi="Arial" w:cs="Arial"/>
          <w:color w:val="000000" w:themeColor="text1"/>
          <w:sz w:val="22"/>
          <w:szCs w:val="22"/>
          <w:lang w:val="en"/>
        </w:rPr>
        <w:t xml:space="preserve">large group discussion using the following questions. </w:t>
      </w:r>
      <w:r w:rsidR="00923A6D" w:rsidRPr="00ED446D">
        <w:rPr>
          <w:rFonts w:ascii="Arial" w:eastAsia="Arial" w:hAnsi="Arial" w:cs="Arial"/>
          <w:color w:val="000000" w:themeColor="text1"/>
          <w:sz w:val="22"/>
          <w:szCs w:val="22"/>
          <w:lang w:val="en"/>
        </w:rPr>
        <w:t xml:space="preserve">In this version, background information is provided for you on the questions posed. </w:t>
      </w:r>
      <w:r w:rsidR="003568C4" w:rsidRPr="00ED446D">
        <w:rPr>
          <w:rFonts w:ascii="Arial" w:eastAsia="Arial" w:hAnsi="Arial" w:cs="Arial"/>
          <w:color w:val="000000" w:themeColor="text1"/>
          <w:sz w:val="22"/>
          <w:szCs w:val="22"/>
          <w:lang w:val="en"/>
        </w:rPr>
        <w:t xml:space="preserve">You may find it helpful to refer to </w:t>
      </w:r>
      <w:r w:rsidR="006903F8" w:rsidRPr="00ED446D">
        <w:rPr>
          <w:rFonts w:ascii="Arial" w:eastAsia="Arial" w:hAnsi="Arial" w:cs="Arial"/>
          <w:color w:val="000000" w:themeColor="text1"/>
          <w:sz w:val="22"/>
          <w:szCs w:val="22"/>
          <w:lang w:val="en"/>
        </w:rPr>
        <w:t xml:space="preserve">this </w:t>
      </w:r>
      <w:hyperlink r:id="rId9" w:history="1">
        <w:r w:rsidR="006903F8" w:rsidRPr="00ED446D">
          <w:rPr>
            <w:rStyle w:val="Hyperlink"/>
            <w:rFonts w:ascii="Arial" w:eastAsia="Arial" w:hAnsi="Arial" w:cs="Arial"/>
            <w:color w:val="000000" w:themeColor="text1"/>
            <w:sz w:val="22"/>
            <w:szCs w:val="22"/>
            <w:lang w:val="en"/>
          </w:rPr>
          <w:t>CTL resource</w:t>
        </w:r>
      </w:hyperlink>
      <w:r w:rsidR="006903F8" w:rsidRPr="00ED446D">
        <w:rPr>
          <w:rFonts w:ascii="Arial" w:eastAsia="Arial" w:hAnsi="Arial" w:cs="Arial"/>
          <w:color w:val="000000" w:themeColor="text1"/>
          <w:sz w:val="22"/>
          <w:szCs w:val="22"/>
          <w:lang w:val="en"/>
        </w:rPr>
        <w:t xml:space="preserve"> for suggestions about facilitating class discussions.</w:t>
      </w:r>
    </w:p>
    <w:p w14:paraId="1BD214F0" w14:textId="10E7111E" w:rsidR="009A5B67" w:rsidRPr="00ED446D" w:rsidRDefault="009A5B67" w:rsidP="00C35C51">
      <w:pPr>
        <w:pStyle w:val="ListParagraph"/>
        <w:numPr>
          <w:ilvl w:val="0"/>
          <w:numId w:val="9"/>
        </w:numPr>
        <w:snapToGrid w:val="0"/>
        <w:spacing w:before="240" w:after="240" w:line="276" w:lineRule="auto"/>
        <w:contextualSpacing w:val="0"/>
        <w:rPr>
          <w:rFonts w:ascii="Arial" w:eastAsia="Arial" w:hAnsi="Arial" w:cs="Arial"/>
          <w:color w:val="000000" w:themeColor="text1"/>
          <w:sz w:val="22"/>
          <w:szCs w:val="22"/>
          <w:lang w:val="en"/>
        </w:rPr>
      </w:pPr>
      <w:r w:rsidRPr="0075702B">
        <w:rPr>
          <w:rFonts w:ascii="Arial" w:eastAsia="Arial" w:hAnsi="Arial" w:cs="Arial"/>
          <w:b/>
          <w:bCs/>
          <w:color w:val="000000" w:themeColor="text1"/>
          <w:sz w:val="22"/>
          <w:szCs w:val="22"/>
          <w:lang w:val="en"/>
        </w:rPr>
        <w:t>Note:</w:t>
      </w:r>
      <w:r>
        <w:rPr>
          <w:rFonts w:ascii="Arial" w:eastAsia="Arial" w:hAnsi="Arial" w:cs="Arial"/>
          <w:color w:val="000000" w:themeColor="text1"/>
          <w:sz w:val="22"/>
          <w:szCs w:val="22"/>
          <w:lang w:val="en"/>
        </w:rPr>
        <w:t xml:space="preserve"> In piloting this tool we identified several common misconceptions and areas of confusion for students</w:t>
      </w:r>
      <w:r w:rsidR="00CB6E96">
        <w:rPr>
          <w:rFonts w:ascii="Arial" w:eastAsia="Arial" w:hAnsi="Arial" w:cs="Arial"/>
          <w:color w:val="000000" w:themeColor="text1"/>
          <w:sz w:val="22"/>
          <w:szCs w:val="22"/>
          <w:lang w:val="en"/>
        </w:rPr>
        <w:t xml:space="preserve">. We recommend incorporating a brief discussion of these questions: </w:t>
      </w:r>
      <w:r w:rsidR="002611F5">
        <w:rPr>
          <w:rFonts w:ascii="Arial" w:eastAsia="Arial" w:hAnsi="Arial" w:cs="Arial"/>
          <w:color w:val="000000" w:themeColor="text1"/>
          <w:sz w:val="22"/>
          <w:szCs w:val="22"/>
          <w:lang w:val="en"/>
        </w:rPr>
        <w:t>What do we mean when we refer to university “administrators”</w:t>
      </w:r>
      <w:r w:rsidR="0075702B">
        <w:rPr>
          <w:rFonts w:ascii="Arial" w:eastAsia="Arial" w:hAnsi="Arial" w:cs="Arial"/>
          <w:color w:val="000000" w:themeColor="text1"/>
          <w:sz w:val="22"/>
          <w:szCs w:val="22"/>
          <w:lang w:val="en"/>
        </w:rPr>
        <w:t xml:space="preserve"> (who is an administrator)</w:t>
      </w:r>
      <w:r w:rsidR="002611F5">
        <w:rPr>
          <w:rFonts w:ascii="Arial" w:eastAsia="Arial" w:hAnsi="Arial" w:cs="Arial"/>
          <w:color w:val="000000" w:themeColor="text1"/>
          <w:sz w:val="22"/>
          <w:szCs w:val="22"/>
          <w:lang w:val="en"/>
        </w:rPr>
        <w:t xml:space="preserve">? What is the </w:t>
      </w:r>
      <w:hyperlink r:id="rId10" w:history="1">
        <w:r w:rsidR="0075702B" w:rsidRPr="004E4312">
          <w:rPr>
            <w:rStyle w:val="Hyperlink"/>
            <w:rFonts w:ascii="Arial" w:eastAsia="Arial" w:hAnsi="Arial" w:cs="Arial"/>
            <w:sz w:val="22"/>
            <w:szCs w:val="22"/>
            <w:lang w:val="en"/>
          </w:rPr>
          <w:t>B</w:t>
        </w:r>
        <w:r w:rsidR="002611F5" w:rsidRPr="004E4312">
          <w:rPr>
            <w:rStyle w:val="Hyperlink"/>
            <w:rFonts w:ascii="Arial" w:eastAsia="Arial" w:hAnsi="Arial" w:cs="Arial"/>
            <w:sz w:val="22"/>
            <w:szCs w:val="22"/>
            <w:lang w:val="en"/>
          </w:rPr>
          <w:t>oard of Regents</w:t>
        </w:r>
      </w:hyperlink>
      <w:r w:rsidR="002611F5">
        <w:rPr>
          <w:rFonts w:ascii="Arial" w:eastAsia="Arial" w:hAnsi="Arial" w:cs="Arial"/>
          <w:color w:val="000000" w:themeColor="text1"/>
          <w:sz w:val="22"/>
          <w:szCs w:val="22"/>
          <w:lang w:val="en"/>
        </w:rPr>
        <w:t xml:space="preserve">? How is it distinguished from the </w:t>
      </w:r>
      <w:hyperlink r:id="rId11" w:history="1">
        <w:r w:rsidR="002611F5" w:rsidRPr="0064445F">
          <w:rPr>
            <w:rStyle w:val="Hyperlink"/>
            <w:rFonts w:ascii="Arial" w:eastAsia="Arial" w:hAnsi="Arial" w:cs="Arial"/>
            <w:sz w:val="22"/>
            <w:szCs w:val="22"/>
            <w:lang w:val="en"/>
          </w:rPr>
          <w:t>Univer</w:t>
        </w:r>
        <w:r w:rsidR="0075702B" w:rsidRPr="0064445F">
          <w:rPr>
            <w:rStyle w:val="Hyperlink"/>
            <w:rFonts w:ascii="Arial" w:eastAsia="Arial" w:hAnsi="Arial" w:cs="Arial"/>
            <w:sz w:val="22"/>
            <w:szCs w:val="22"/>
            <w:lang w:val="en"/>
          </w:rPr>
          <w:t>sity System of Georgia</w:t>
        </w:r>
      </w:hyperlink>
      <w:r w:rsidR="0075702B">
        <w:rPr>
          <w:rFonts w:ascii="Arial" w:eastAsia="Arial" w:hAnsi="Arial" w:cs="Arial"/>
          <w:color w:val="000000" w:themeColor="text1"/>
          <w:sz w:val="22"/>
          <w:szCs w:val="22"/>
          <w:lang w:val="en"/>
        </w:rPr>
        <w:t>?</w:t>
      </w:r>
    </w:p>
    <w:p w14:paraId="6732023A" w14:textId="7E138C92" w:rsidR="00C9771B" w:rsidRPr="00C9771B" w:rsidRDefault="00C9771B" w:rsidP="00C9771B">
      <w:pPr>
        <w:spacing w:before="240" w:after="240" w:line="276" w:lineRule="auto"/>
        <w:rPr>
          <w:rFonts w:ascii="Arial" w:eastAsia="Arial" w:hAnsi="Arial" w:cs="Arial"/>
          <w:b/>
          <w:bCs/>
          <w:sz w:val="22"/>
          <w:lang w:val="en"/>
        </w:rPr>
      </w:pPr>
      <w:r w:rsidRPr="00C9771B">
        <w:rPr>
          <w:rFonts w:ascii="Arial" w:eastAsia="Arial" w:hAnsi="Arial" w:cs="Arial"/>
          <w:b/>
          <w:bCs/>
          <w:sz w:val="22"/>
          <w:lang w:val="en"/>
        </w:rPr>
        <w:t xml:space="preserve">Suggested discussion questions </w:t>
      </w:r>
      <w:r w:rsidR="00D11732" w:rsidRPr="00ED446D">
        <w:rPr>
          <w:rFonts w:ascii="Arial" w:eastAsia="Arial" w:hAnsi="Arial" w:cs="Arial"/>
          <w:b/>
          <w:bCs/>
          <w:sz w:val="22"/>
          <w:lang w:val="en"/>
        </w:rPr>
        <w:t>and instructor guide</w:t>
      </w:r>
      <w:r w:rsidRPr="00C9771B">
        <w:rPr>
          <w:rFonts w:ascii="Arial" w:eastAsia="Arial" w:hAnsi="Arial" w:cs="Arial"/>
          <w:b/>
          <w:bCs/>
          <w:sz w:val="22"/>
          <w:lang w:val="en"/>
        </w:rPr>
        <w:t>:</w:t>
      </w:r>
    </w:p>
    <w:p w14:paraId="048C52DA" w14:textId="77777777" w:rsidR="00C9771B" w:rsidRPr="00ED446D" w:rsidRDefault="00C9771B" w:rsidP="00B137C9">
      <w:pPr>
        <w:numPr>
          <w:ilvl w:val="0"/>
          <w:numId w:val="6"/>
        </w:numPr>
        <w:snapToGrid w:val="0"/>
        <w:spacing w:after="240" w:line="276" w:lineRule="auto"/>
        <w:ind w:left="360"/>
        <w:rPr>
          <w:rFonts w:ascii="Arial" w:eastAsia="Arial" w:hAnsi="Arial" w:cs="Arial"/>
          <w:sz w:val="22"/>
          <w:lang w:val="en"/>
        </w:rPr>
      </w:pPr>
      <w:r w:rsidRPr="00C9771B">
        <w:rPr>
          <w:rFonts w:ascii="Arial" w:eastAsia="Arial" w:hAnsi="Arial" w:cs="Arial"/>
          <w:sz w:val="22"/>
          <w:lang w:val="en"/>
        </w:rPr>
        <w:t>How do you think the 2000 requirement that institutions create Mandatory Student Fee Advisory Committees (MSFACs), and the 2010 requirement that students be included, influenced Georgia Tech’s and other institutions’ campaigns to remove the SIF?</w:t>
      </w:r>
    </w:p>
    <w:p w14:paraId="3F205962" w14:textId="2905D065" w:rsidR="00D11732" w:rsidRPr="00C9771B" w:rsidRDefault="00D11732" w:rsidP="00B137C9">
      <w:pPr>
        <w:snapToGrid w:val="0"/>
        <w:spacing w:after="240" w:line="276" w:lineRule="auto"/>
        <w:ind w:left="360"/>
        <w:rPr>
          <w:rFonts w:ascii="Arial" w:eastAsia="Arial" w:hAnsi="Arial" w:cs="Arial"/>
          <w:sz w:val="22"/>
          <w:lang w:val="en"/>
        </w:rPr>
      </w:pPr>
      <w:r w:rsidRPr="00ED446D">
        <w:rPr>
          <w:rFonts w:ascii="Arial" w:eastAsia="Arial" w:hAnsi="Arial" w:cs="Arial"/>
          <w:sz w:val="22"/>
          <w:u w:val="single"/>
          <w:lang w:val="en"/>
        </w:rPr>
        <w:t>Instructor background</w:t>
      </w:r>
      <w:r w:rsidRPr="00ED446D">
        <w:rPr>
          <w:rFonts w:ascii="Arial" w:eastAsia="Arial" w:hAnsi="Arial" w:cs="Arial"/>
          <w:sz w:val="22"/>
          <w:lang w:val="en"/>
        </w:rPr>
        <w:t xml:space="preserve">: </w:t>
      </w:r>
      <w:r w:rsidRPr="00C9771B">
        <w:rPr>
          <w:rFonts w:ascii="Arial" w:eastAsia="Arial" w:hAnsi="Arial" w:cs="Arial"/>
          <w:sz w:val="22"/>
          <w:lang w:val="en"/>
        </w:rPr>
        <w:t>The MSFACs and the 2010 requirement that students be included were important because they provided a structure for students and faculty to discuss and debate the fees on a regular basis. Student seats on the MSFACs gave legitimacy to student voices on the issue. They also may have provided students with opportunities to learn about university decision-making structures.</w:t>
      </w:r>
    </w:p>
    <w:p w14:paraId="16531844" w14:textId="6C592474" w:rsidR="00C9771B" w:rsidRPr="00ED446D" w:rsidRDefault="00C9771B" w:rsidP="00B137C9">
      <w:pPr>
        <w:numPr>
          <w:ilvl w:val="0"/>
          <w:numId w:val="6"/>
        </w:numPr>
        <w:snapToGrid w:val="0"/>
        <w:spacing w:after="240" w:line="276" w:lineRule="auto"/>
        <w:ind w:left="360"/>
        <w:rPr>
          <w:rFonts w:ascii="Arial" w:eastAsia="Arial" w:hAnsi="Arial" w:cs="Arial"/>
          <w:sz w:val="22"/>
          <w:lang w:val="en"/>
        </w:rPr>
      </w:pPr>
      <w:r w:rsidRPr="00C9771B">
        <w:rPr>
          <w:rFonts w:ascii="Arial" w:eastAsia="Arial" w:hAnsi="Arial" w:cs="Arial"/>
          <w:sz w:val="22"/>
          <w:lang w:val="en"/>
        </w:rPr>
        <w:t>What were the roles of graduate students, faculty, and administrators in articulating their demand</w:t>
      </w:r>
      <w:r w:rsidR="00264C2F" w:rsidRPr="00ED446D">
        <w:rPr>
          <w:rFonts w:ascii="Arial" w:eastAsia="Arial" w:hAnsi="Arial" w:cs="Arial"/>
          <w:sz w:val="22"/>
          <w:lang w:val="en"/>
        </w:rPr>
        <w:t>s</w:t>
      </w:r>
      <w:r w:rsidRPr="00C9771B">
        <w:rPr>
          <w:rFonts w:ascii="Arial" w:eastAsia="Arial" w:hAnsi="Arial" w:cs="Arial"/>
          <w:sz w:val="22"/>
          <w:lang w:val="en"/>
        </w:rPr>
        <w:t xml:space="preserve"> and providing support for elimination of the SIF? Why do you think it is important to have a clear “ask” or demand, when working together for change?</w:t>
      </w:r>
    </w:p>
    <w:p w14:paraId="19E5F8A2" w14:textId="7ACE4F7A" w:rsidR="006C2499" w:rsidRPr="00C9771B" w:rsidRDefault="006C2499" w:rsidP="00B137C9">
      <w:pPr>
        <w:snapToGrid w:val="0"/>
        <w:spacing w:after="240" w:line="276" w:lineRule="auto"/>
        <w:ind w:left="360"/>
        <w:rPr>
          <w:rFonts w:ascii="Arial" w:eastAsia="Arial" w:hAnsi="Arial" w:cs="Arial"/>
          <w:sz w:val="22"/>
          <w:lang w:val="en"/>
        </w:rPr>
      </w:pPr>
      <w:r w:rsidRPr="00ED446D">
        <w:rPr>
          <w:rFonts w:ascii="Arial" w:eastAsia="Arial" w:hAnsi="Arial" w:cs="Arial"/>
          <w:sz w:val="22"/>
          <w:u w:val="single"/>
          <w:lang w:val="en"/>
        </w:rPr>
        <w:t>Instructor background</w:t>
      </w:r>
      <w:r w:rsidRPr="00ED446D">
        <w:rPr>
          <w:rFonts w:ascii="Arial" w:eastAsia="Arial" w:hAnsi="Arial" w:cs="Arial"/>
          <w:sz w:val="22"/>
          <w:lang w:val="en"/>
        </w:rPr>
        <w:t xml:space="preserve">: </w:t>
      </w:r>
      <w:r w:rsidRPr="00C9771B">
        <w:rPr>
          <w:rFonts w:ascii="Arial" w:eastAsia="Arial" w:hAnsi="Arial" w:cs="Arial"/>
          <w:sz w:val="22"/>
          <w:lang w:val="en"/>
        </w:rPr>
        <w:t xml:space="preserve">Successful campaigns for change clearly articulate the desired change and support the need for it with evidence. Without a clear “ask” or demand it is difficult for a group with a grievance to make progress changing the situation. To gain </w:t>
      </w:r>
      <w:r w:rsidRPr="00C9771B">
        <w:rPr>
          <w:rFonts w:ascii="Arial" w:eastAsia="Arial" w:hAnsi="Arial" w:cs="Arial"/>
          <w:sz w:val="22"/>
          <w:lang w:val="en"/>
        </w:rPr>
        <w:lastRenderedPageBreak/>
        <w:t>supporters and persuade potential allies to help, a clear argument backed by evidence is important, particularly on college campuses.</w:t>
      </w:r>
    </w:p>
    <w:p w14:paraId="0CD69C7B" w14:textId="77777777" w:rsidR="00C9771B" w:rsidRPr="00ED446D" w:rsidRDefault="00C9771B" w:rsidP="00B137C9">
      <w:pPr>
        <w:numPr>
          <w:ilvl w:val="0"/>
          <w:numId w:val="6"/>
        </w:numPr>
        <w:snapToGrid w:val="0"/>
        <w:spacing w:after="240" w:line="276" w:lineRule="auto"/>
        <w:ind w:left="360"/>
        <w:rPr>
          <w:rFonts w:ascii="Arial" w:eastAsia="Arial" w:hAnsi="Arial" w:cs="Arial"/>
          <w:sz w:val="22"/>
          <w:lang w:val="en"/>
        </w:rPr>
      </w:pPr>
      <w:r w:rsidRPr="00C9771B">
        <w:rPr>
          <w:rFonts w:ascii="Arial" w:eastAsia="Arial" w:hAnsi="Arial" w:cs="Arial"/>
          <w:sz w:val="22"/>
          <w:lang w:val="en"/>
        </w:rPr>
        <w:t>University administrators are continuously presented with concerns and demands about a wide range of problems. Identify two tactics (the term many organizers use for strategic actions) that students and faculty used to elevate the importance of eliminating the SIF for campus administrators. Which tactics do you think may have had the biggest impact?</w:t>
      </w:r>
    </w:p>
    <w:p w14:paraId="2E0122E9" w14:textId="56D0BDD6" w:rsidR="0074773B" w:rsidRPr="00C9771B" w:rsidRDefault="0074773B" w:rsidP="00B137C9">
      <w:pPr>
        <w:snapToGrid w:val="0"/>
        <w:spacing w:after="240" w:line="276" w:lineRule="auto"/>
        <w:ind w:left="360"/>
        <w:rPr>
          <w:rFonts w:ascii="Arial" w:eastAsia="Arial" w:hAnsi="Arial" w:cs="Arial"/>
          <w:sz w:val="22"/>
          <w:lang w:val="en"/>
        </w:rPr>
      </w:pPr>
      <w:r w:rsidRPr="00ED446D">
        <w:rPr>
          <w:rFonts w:ascii="Arial" w:eastAsia="Arial" w:hAnsi="Arial" w:cs="Arial"/>
          <w:sz w:val="22"/>
          <w:u w:val="single"/>
          <w:lang w:val="en"/>
        </w:rPr>
        <w:t>Instructor background</w:t>
      </w:r>
      <w:r w:rsidRPr="00ED446D">
        <w:rPr>
          <w:rFonts w:ascii="Arial" w:eastAsia="Arial" w:hAnsi="Arial" w:cs="Arial"/>
          <w:sz w:val="22"/>
          <w:lang w:val="en"/>
        </w:rPr>
        <w:t>: Winning change on campus often requires finding ways to elevate the importance of the changes you seek, because university administrators are continuously presented with concerns and demands about a wide range of problems. Advocates can elevate the issue through disruptive tactics (e.g., demonstrations, highly visible public performances, displays that disrupt normal activity), through media, and by cultivating allies. A “target,” defined as the person who has the power to give the campaigners what they want, is more likely to respond favorably when it becomes more attractive to comply than to continue ignoring the group.</w:t>
      </w:r>
    </w:p>
    <w:p w14:paraId="203DE1DE" w14:textId="734056A1" w:rsidR="00C9771B" w:rsidRPr="00ED446D" w:rsidRDefault="00C9771B" w:rsidP="00B137C9">
      <w:pPr>
        <w:numPr>
          <w:ilvl w:val="0"/>
          <w:numId w:val="6"/>
        </w:numPr>
        <w:snapToGrid w:val="0"/>
        <w:spacing w:after="240" w:line="276" w:lineRule="auto"/>
        <w:ind w:left="360"/>
        <w:rPr>
          <w:rFonts w:ascii="Arial" w:eastAsia="Arial" w:hAnsi="Arial" w:cs="Arial"/>
          <w:sz w:val="22"/>
          <w:lang w:val="en"/>
        </w:rPr>
      </w:pPr>
      <w:r w:rsidRPr="00C9771B">
        <w:rPr>
          <w:rFonts w:ascii="Arial" w:eastAsia="Arial" w:hAnsi="Arial" w:cs="Arial"/>
          <w:sz w:val="22"/>
          <w:lang w:val="en"/>
        </w:rPr>
        <w:t xml:space="preserve">Advocates often use different messaging or </w:t>
      </w:r>
      <w:r w:rsidR="005514FE" w:rsidRPr="00ED446D">
        <w:rPr>
          <w:rFonts w:ascii="Arial" w:eastAsia="Arial" w:hAnsi="Arial" w:cs="Arial"/>
          <w:sz w:val="22"/>
          <w:lang w:val="en"/>
        </w:rPr>
        <w:t>“</w:t>
      </w:r>
      <w:r w:rsidRPr="00C9771B">
        <w:rPr>
          <w:rFonts w:ascii="Arial" w:eastAsia="Arial" w:hAnsi="Arial" w:cs="Arial"/>
          <w:sz w:val="22"/>
          <w:lang w:val="en"/>
        </w:rPr>
        <w:t>frames” when they are communicating to different groups. How did students and faculty frame their message for GT administrators? How did they frame the issue for the Board of Regents? What kinds of messaging do you think were most persuasive to GT administrators, and why? Why might students and faculty use different arguments when communicating with the BOR than with students and faculty at Georgia Tech?</w:t>
      </w:r>
    </w:p>
    <w:p w14:paraId="6FC8830D" w14:textId="72D0BF4E" w:rsidR="002E5FBE" w:rsidRPr="00C9771B" w:rsidRDefault="00675D3E" w:rsidP="00B137C9">
      <w:pPr>
        <w:snapToGrid w:val="0"/>
        <w:spacing w:after="240" w:line="276" w:lineRule="auto"/>
        <w:ind w:left="360"/>
        <w:rPr>
          <w:rFonts w:ascii="Arial" w:eastAsia="Arial" w:hAnsi="Arial" w:cs="Arial"/>
          <w:sz w:val="22"/>
          <w:lang w:val="en"/>
        </w:rPr>
      </w:pPr>
      <w:r w:rsidRPr="00ED446D">
        <w:rPr>
          <w:rFonts w:ascii="Arial" w:eastAsia="Arial" w:hAnsi="Arial" w:cs="Arial"/>
          <w:sz w:val="22"/>
          <w:u w:val="single"/>
          <w:lang w:val="en"/>
        </w:rPr>
        <w:t>Instructor background</w:t>
      </w:r>
      <w:r w:rsidRPr="00ED446D">
        <w:rPr>
          <w:rFonts w:ascii="Arial" w:eastAsia="Arial" w:hAnsi="Arial" w:cs="Arial"/>
          <w:sz w:val="22"/>
          <w:lang w:val="en"/>
        </w:rPr>
        <w:t xml:space="preserve">: </w:t>
      </w:r>
      <w:r w:rsidR="002E5FBE" w:rsidRPr="00ED446D">
        <w:rPr>
          <w:rFonts w:ascii="Arial" w:eastAsia="Arial" w:hAnsi="Arial" w:cs="Arial"/>
          <w:sz w:val="22"/>
          <w:lang w:val="en"/>
        </w:rPr>
        <w:t>Winning change is more likely when you can frame your arguments in a way that aligns with what your audience cares about. This principle tends to make intuitive sense to students. Organizers often employ a variety of messages tailored to different audiences, choosing “frames” that are most likely to resonate strongly with the group or individual in question. For example, students and faculty advocating sustainability commitments on campus often frame their messaging for administrators in terms of cost savings associated with energy, water, and waste reduction. In contrast, their messaging designed to bring more advocates on board may highlight moral responsibility and climate justice principles.</w:t>
      </w:r>
    </w:p>
    <w:p w14:paraId="2F7D7950" w14:textId="1D709375" w:rsidR="00C9771B" w:rsidRPr="00ED446D" w:rsidRDefault="00C9771B" w:rsidP="00B137C9">
      <w:pPr>
        <w:numPr>
          <w:ilvl w:val="0"/>
          <w:numId w:val="6"/>
        </w:numPr>
        <w:snapToGrid w:val="0"/>
        <w:spacing w:after="240" w:line="276" w:lineRule="auto"/>
        <w:ind w:left="360"/>
        <w:rPr>
          <w:rFonts w:ascii="Arial" w:eastAsia="Arial" w:hAnsi="Arial" w:cs="Arial"/>
          <w:sz w:val="22"/>
          <w:lang w:val="en"/>
        </w:rPr>
      </w:pPr>
      <w:r w:rsidRPr="00C9771B">
        <w:rPr>
          <w:rFonts w:ascii="Arial" w:eastAsia="Arial" w:hAnsi="Arial" w:cs="Arial"/>
          <w:sz w:val="22"/>
          <w:lang w:val="en"/>
        </w:rPr>
        <w:t>Both faculty and student groups worked on this campaign, but each group maintain</w:t>
      </w:r>
      <w:r w:rsidR="008873EE">
        <w:rPr>
          <w:rFonts w:ascii="Arial" w:eastAsia="Arial" w:hAnsi="Arial" w:cs="Arial"/>
          <w:sz w:val="22"/>
          <w:lang w:val="en"/>
        </w:rPr>
        <w:t>ed</w:t>
      </w:r>
      <w:r w:rsidRPr="00C9771B">
        <w:rPr>
          <w:rFonts w:ascii="Arial" w:eastAsia="Arial" w:hAnsi="Arial" w:cs="Arial"/>
          <w:sz w:val="22"/>
          <w:lang w:val="en"/>
        </w:rPr>
        <w:t xml:space="preserve"> an independent voice. Describe the benefits of including both students and faculty in this movement for social change at Georgia Tech. How do you think the outcome might have been different if the campaign had included students alone? Why do you think faculty and students chose not to team up in a formal way?</w:t>
      </w:r>
    </w:p>
    <w:p w14:paraId="3590293A" w14:textId="4D480A19" w:rsidR="005514FE" w:rsidRPr="00C9771B" w:rsidRDefault="00675D3E" w:rsidP="00B137C9">
      <w:pPr>
        <w:snapToGrid w:val="0"/>
        <w:spacing w:after="240" w:line="276" w:lineRule="auto"/>
        <w:ind w:left="360"/>
        <w:rPr>
          <w:rFonts w:ascii="Arial" w:eastAsia="Arial" w:hAnsi="Arial" w:cs="Arial"/>
          <w:sz w:val="22"/>
          <w:lang w:val="en"/>
        </w:rPr>
      </w:pPr>
      <w:r w:rsidRPr="00ED446D">
        <w:rPr>
          <w:rFonts w:ascii="Arial" w:eastAsia="Arial" w:hAnsi="Arial" w:cs="Arial"/>
          <w:sz w:val="22"/>
          <w:u w:val="single"/>
          <w:lang w:val="en"/>
        </w:rPr>
        <w:t>Instructor background</w:t>
      </w:r>
      <w:r w:rsidRPr="00ED446D">
        <w:rPr>
          <w:rFonts w:ascii="Arial" w:eastAsia="Arial" w:hAnsi="Arial" w:cs="Arial"/>
          <w:sz w:val="22"/>
          <w:lang w:val="en"/>
        </w:rPr>
        <w:t xml:space="preserve">: </w:t>
      </w:r>
      <w:r w:rsidR="005514FE" w:rsidRPr="00C9771B">
        <w:rPr>
          <w:rFonts w:ascii="Arial" w:eastAsia="Arial" w:hAnsi="Arial" w:cs="Arial"/>
          <w:sz w:val="22"/>
          <w:lang w:val="en"/>
        </w:rPr>
        <w:t xml:space="preserve">Social movement scholars refer to “strategic capacity” as the ability of a group to plan an effective strategy and to regularly reassess the landscape and adapt their plans appropriately in response to target or opponent responses and other relevant factors, such as new allies or a media opportunity. That capacity is greater when group members have diverse experiences, skills, and networks related to the issue at hand. </w:t>
      </w:r>
      <w:r w:rsidR="005514FE" w:rsidRPr="00C9771B">
        <w:rPr>
          <w:rFonts w:ascii="Arial" w:eastAsia="Arial" w:hAnsi="Arial" w:cs="Arial"/>
          <w:sz w:val="22"/>
          <w:lang w:val="en"/>
        </w:rPr>
        <w:lastRenderedPageBreak/>
        <w:t xml:space="preserve">Faculty and staff members tend to have greater knowledge of institutional process and decision-making than students, so student campaigns may be more successful when they bring in wisdom from faculty and staff, whether formally or behind the scenes. Regarding students and faculty groups maintaining separate voices, demonstrating strong support of faculty and strong support of students may be more easily accomplished by maintaining distinct teams. In addition, students may be more willing to engage in disruptive tactics, such as demonstrations at the state capitol or on campus, than faculty and staff. </w:t>
      </w:r>
    </w:p>
    <w:p w14:paraId="7DA7F18C"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b/>
          <w:sz w:val="22"/>
          <w:lang w:val="en"/>
        </w:rPr>
        <w:t>Additional Readings</w:t>
      </w:r>
      <w:r w:rsidRPr="00C9771B">
        <w:rPr>
          <w:rFonts w:ascii="Arial" w:eastAsia="Arial" w:hAnsi="Arial" w:cs="Arial"/>
          <w:sz w:val="22"/>
          <w:lang w:val="en"/>
        </w:rPr>
        <w:t>:</w:t>
      </w:r>
    </w:p>
    <w:p w14:paraId="2EEA8E6F" w14:textId="4B732313" w:rsidR="00C9771B" w:rsidRPr="00C9771B" w:rsidRDefault="00154973" w:rsidP="00C9771B">
      <w:pPr>
        <w:spacing w:before="240" w:after="240" w:line="276" w:lineRule="auto"/>
        <w:rPr>
          <w:rFonts w:ascii="Arial" w:eastAsia="Arial" w:hAnsi="Arial" w:cs="Arial"/>
          <w:sz w:val="22"/>
          <w:lang w:val="en"/>
        </w:rPr>
      </w:pPr>
      <w:hyperlink r:id="rId12" w:history="1">
        <w:r w:rsidR="00C9771B" w:rsidRPr="00154973">
          <w:rPr>
            <w:rStyle w:val="Hyperlink"/>
            <w:rFonts w:ascii="Arial" w:eastAsia="Arial" w:hAnsi="Arial" w:cs="Arial"/>
            <w:sz w:val="22"/>
            <w:lang w:val="en"/>
          </w:rPr>
          <w:t>Graduate SGA White Paper</w:t>
        </w:r>
      </w:hyperlink>
      <w:r w:rsidR="00C9771B" w:rsidRPr="00C9771B">
        <w:rPr>
          <w:rFonts w:ascii="Arial" w:eastAsia="Arial" w:hAnsi="Arial" w:cs="Arial"/>
          <w:sz w:val="22"/>
          <w:lang w:val="en"/>
        </w:rPr>
        <w:t>.</w:t>
      </w:r>
    </w:p>
    <w:p w14:paraId="7766F47D" w14:textId="6BDBB3BF" w:rsidR="00C9771B" w:rsidRPr="00C9771B" w:rsidRDefault="00154973" w:rsidP="00C9771B">
      <w:pPr>
        <w:spacing w:before="240" w:after="240" w:line="276" w:lineRule="auto"/>
        <w:rPr>
          <w:rFonts w:ascii="Arial" w:eastAsia="Arial" w:hAnsi="Arial" w:cs="Arial"/>
          <w:iCs/>
          <w:sz w:val="22"/>
          <w:lang w:val="en"/>
        </w:rPr>
      </w:pPr>
      <w:hyperlink r:id="rId13" w:history="1">
        <w:r w:rsidR="00C9771B" w:rsidRPr="00154973">
          <w:rPr>
            <w:rStyle w:val="Hyperlink"/>
            <w:rFonts w:ascii="Arial" w:eastAsia="Arial" w:hAnsi="Arial" w:cs="Arial"/>
            <w:iCs/>
            <w:sz w:val="22"/>
            <w:lang w:val="en"/>
          </w:rPr>
          <w:t>Resolution to Reduce Graduate Student Fees</w:t>
        </w:r>
      </w:hyperlink>
      <w:r w:rsidR="00C9771B" w:rsidRPr="00C9771B">
        <w:rPr>
          <w:rFonts w:ascii="Arial" w:eastAsia="Arial" w:hAnsi="Arial" w:cs="Arial"/>
          <w:iCs/>
          <w:sz w:val="22"/>
          <w:lang w:val="en"/>
        </w:rPr>
        <w:t>.</w:t>
      </w:r>
    </w:p>
    <w:p w14:paraId="43BE5A25" w14:textId="77777777" w:rsidR="00C9771B" w:rsidRPr="00C9771B" w:rsidRDefault="00154973" w:rsidP="00C9771B">
      <w:pPr>
        <w:spacing w:before="240" w:after="240" w:line="276" w:lineRule="auto"/>
        <w:rPr>
          <w:rFonts w:ascii="Arial" w:eastAsia="Arial" w:hAnsi="Arial" w:cs="Arial"/>
          <w:iCs/>
          <w:sz w:val="22"/>
          <w:lang w:val="en"/>
        </w:rPr>
      </w:pPr>
      <w:hyperlink r:id="rId14" w:history="1">
        <w:r w:rsidR="00C9771B" w:rsidRPr="00C9771B">
          <w:rPr>
            <w:rFonts w:ascii="Arial" w:eastAsia="Arial" w:hAnsi="Arial" w:cs="Arial"/>
            <w:iCs/>
            <w:color w:val="0000FF"/>
            <w:sz w:val="22"/>
            <w:u w:val="single"/>
            <w:lang w:val="en"/>
          </w:rPr>
          <w:t>https://www.washingtonpost.com/local/education/graduate-students-mounting-degrees-of-protest-over-hidden-fees/2019/08/02/a7f19f3c-b3c8-11e9-8949-5f36ff92706e_story.html</w:t>
        </w:r>
      </w:hyperlink>
    </w:p>
    <w:p w14:paraId="78950525" w14:textId="77777777" w:rsidR="00C9771B" w:rsidRPr="00C9771B" w:rsidRDefault="00154973" w:rsidP="00C9771B">
      <w:pPr>
        <w:spacing w:before="240" w:after="240" w:line="276" w:lineRule="auto"/>
        <w:rPr>
          <w:rFonts w:ascii="Arial" w:eastAsia="Arial" w:hAnsi="Arial" w:cs="Arial"/>
          <w:iCs/>
          <w:sz w:val="22"/>
          <w:lang w:val="en"/>
        </w:rPr>
      </w:pPr>
      <w:hyperlink r:id="rId15" w:history="1">
        <w:r w:rsidR="00C9771B" w:rsidRPr="00C9771B">
          <w:rPr>
            <w:rFonts w:ascii="Arial" w:eastAsia="Arial" w:hAnsi="Arial" w:cs="Arial"/>
            <w:iCs/>
            <w:color w:val="0000FF"/>
            <w:sz w:val="22"/>
            <w:u w:val="single"/>
            <w:lang w:val="en"/>
          </w:rPr>
          <w:t>https://hechingerreport.org/already-stretched-grad-students-rebel-against-rising-and-often-surreptitious-fees/</w:t>
        </w:r>
      </w:hyperlink>
    </w:p>
    <w:p w14:paraId="07F35621" w14:textId="77777777" w:rsidR="00C9771B" w:rsidRPr="00C9771B" w:rsidRDefault="00C9771B" w:rsidP="00C9771B">
      <w:pPr>
        <w:spacing w:before="240" w:after="240" w:line="276" w:lineRule="auto"/>
        <w:contextualSpacing/>
        <w:rPr>
          <w:rFonts w:ascii="Arial" w:eastAsia="Arial" w:hAnsi="Arial" w:cs="Arial"/>
          <w:b/>
          <w:bCs/>
          <w:sz w:val="22"/>
          <w:lang w:val="en"/>
        </w:rPr>
      </w:pPr>
      <w:r w:rsidRPr="00C9771B">
        <w:rPr>
          <w:rFonts w:ascii="Arial" w:eastAsia="Arial" w:hAnsi="Arial" w:cs="Arial"/>
          <w:b/>
          <w:bCs/>
          <w:sz w:val="22"/>
          <w:lang w:val="en"/>
        </w:rPr>
        <w:t>Social Movement Theory (background for instructors)</w:t>
      </w:r>
    </w:p>
    <w:p w14:paraId="1D3BE2DE" w14:textId="77777777" w:rsidR="00C9771B" w:rsidRPr="00C9771B" w:rsidRDefault="00C9771B" w:rsidP="00C9771B">
      <w:pPr>
        <w:spacing w:before="240" w:after="240" w:line="276" w:lineRule="auto"/>
        <w:contextualSpacing/>
        <w:rPr>
          <w:rFonts w:ascii="Arial" w:eastAsia="Arial" w:hAnsi="Arial" w:cs="Arial"/>
          <w:b/>
          <w:bCs/>
          <w:sz w:val="22"/>
          <w:lang w:val="en"/>
        </w:rPr>
      </w:pPr>
    </w:p>
    <w:p w14:paraId="1D7B1EF0" w14:textId="4B41B00A" w:rsidR="00C9771B" w:rsidRPr="00C9771B" w:rsidRDefault="00154973" w:rsidP="00C9771B">
      <w:pPr>
        <w:spacing w:before="240" w:after="240" w:line="276" w:lineRule="auto"/>
        <w:contextualSpacing/>
        <w:rPr>
          <w:rFonts w:ascii="Arial" w:eastAsia="Arial" w:hAnsi="Arial" w:cs="Arial"/>
          <w:sz w:val="22"/>
          <w:lang w:val="en"/>
        </w:rPr>
      </w:pPr>
      <w:hyperlink r:id="rId16" w:history="1">
        <w:r w:rsidR="00C9771B" w:rsidRPr="00154973">
          <w:rPr>
            <w:rStyle w:val="Hyperlink"/>
            <w:rFonts w:ascii="Arial" w:eastAsia="Arial" w:hAnsi="Arial" w:cs="Arial"/>
            <w:sz w:val="22"/>
            <w:lang w:val="en"/>
          </w:rPr>
          <w:t>Ryan and Gamson: Is Framing Enough?</w:t>
        </w:r>
      </w:hyperlink>
    </w:p>
    <w:p w14:paraId="175EB12F" w14:textId="77777777" w:rsidR="00C9771B" w:rsidRPr="00C9771B" w:rsidRDefault="00C9771B" w:rsidP="00C9771B">
      <w:pPr>
        <w:spacing w:before="240" w:after="240" w:line="276" w:lineRule="auto"/>
        <w:contextualSpacing/>
        <w:rPr>
          <w:rFonts w:ascii="Arial" w:eastAsia="Arial" w:hAnsi="Arial" w:cs="Arial"/>
          <w:sz w:val="22"/>
          <w:lang w:val="en"/>
        </w:rPr>
      </w:pPr>
    </w:p>
    <w:p w14:paraId="26C0234E" w14:textId="77777777" w:rsidR="00C9771B" w:rsidRPr="00C9771B" w:rsidRDefault="00C9771B" w:rsidP="00C9771B">
      <w:pPr>
        <w:spacing w:before="240" w:after="240" w:line="276" w:lineRule="auto"/>
        <w:contextualSpacing/>
        <w:rPr>
          <w:rFonts w:ascii="Arial" w:eastAsia="Arial" w:hAnsi="Arial" w:cs="Arial"/>
          <w:sz w:val="22"/>
          <w:lang w:val="en"/>
        </w:rPr>
      </w:pPr>
      <w:r w:rsidRPr="00C9771B">
        <w:rPr>
          <w:rFonts w:ascii="Arial" w:eastAsia="Arial" w:hAnsi="Arial" w:cs="Arial"/>
          <w:sz w:val="22"/>
          <w:lang w:val="en"/>
        </w:rPr>
        <w:t>See also: Meyer, D. S. (2009). 39 How Social Movements Matter. </w:t>
      </w:r>
      <w:r w:rsidRPr="00C9771B">
        <w:rPr>
          <w:rFonts w:ascii="Arial" w:eastAsia="Arial" w:hAnsi="Arial" w:cs="Arial"/>
          <w:i/>
          <w:iCs/>
          <w:sz w:val="22"/>
          <w:lang w:val="en"/>
        </w:rPr>
        <w:t>The social movements reader: Cases and concepts</w:t>
      </w:r>
      <w:r w:rsidRPr="00C9771B">
        <w:rPr>
          <w:rFonts w:ascii="Arial" w:eastAsia="Arial" w:hAnsi="Arial" w:cs="Arial"/>
          <w:sz w:val="22"/>
          <w:lang w:val="en"/>
        </w:rPr>
        <w:t xml:space="preserve">, (12), 28 </w:t>
      </w:r>
    </w:p>
    <w:p w14:paraId="7788D6EB" w14:textId="77777777" w:rsidR="00C9771B" w:rsidRPr="00C9771B" w:rsidRDefault="00C9771B" w:rsidP="00C9771B">
      <w:pPr>
        <w:spacing w:before="240" w:after="240" w:line="276" w:lineRule="auto"/>
        <w:contextualSpacing/>
        <w:rPr>
          <w:rFonts w:ascii="Arial" w:eastAsia="Arial" w:hAnsi="Arial" w:cs="Arial"/>
          <w:sz w:val="22"/>
          <w:lang w:val="en"/>
        </w:rPr>
      </w:pPr>
      <w:r w:rsidRPr="00C9771B">
        <w:rPr>
          <w:rFonts w:ascii="Arial" w:eastAsia="Arial" w:hAnsi="Arial" w:cs="Arial"/>
          <w:sz w:val="22"/>
          <w:lang w:val="en"/>
        </w:rPr>
        <w:t xml:space="preserve">…and other chapters, </w:t>
      </w:r>
      <w:r w:rsidRPr="0011099D">
        <w:rPr>
          <w:rFonts w:ascii="Arial" w:eastAsia="Arial" w:hAnsi="Arial" w:cs="Arial"/>
          <w:sz w:val="22"/>
          <w:u w:val="single"/>
          <w:lang w:val="en"/>
        </w:rPr>
        <w:t xml:space="preserve">available as an </w:t>
      </w:r>
      <w:proofErr w:type="spellStart"/>
      <w:r w:rsidRPr="0011099D">
        <w:rPr>
          <w:rFonts w:ascii="Arial" w:eastAsia="Arial" w:hAnsi="Arial" w:cs="Arial"/>
          <w:sz w:val="22"/>
          <w:u w:val="single"/>
          <w:lang w:val="en"/>
        </w:rPr>
        <w:t>Ebook</w:t>
      </w:r>
      <w:proofErr w:type="spellEnd"/>
      <w:r w:rsidRPr="0011099D">
        <w:rPr>
          <w:rFonts w:ascii="Arial" w:eastAsia="Arial" w:hAnsi="Arial" w:cs="Arial"/>
          <w:sz w:val="22"/>
          <w:u w:val="single"/>
          <w:lang w:val="en"/>
        </w:rPr>
        <w:t xml:space="preserve"> through the GT library</w:t>
      </w:r>
      <w:r w:rsidRPr="00C9771B">
        <w:rPr>
          <w:rFonts w:ascii="Arial" w:eastAsia="Arial" w:hAnsi="Arial" w:cs="Arial"/>
          <w:sz w:val="22"/>
          <w:lang w:val="en"/>
        </w:rPr>
        <w:t>.</w:t>
      </w:r>
    </w:p>
    <w:p w14:paraId="57A9EDA1" w14:textId="77777777" w:rsidR="00C9771B" w:rsidRPr="00C9771B" w:rsidRDefault="00C9771B" w:rsidP="00C9771B">
      <w:pPr>
        <w:spacing w:before="240" w:after="240" w:line="276" w:lineRule="auto"/>
        <w:contextualSpacing/>
        <w:rPr>
          <w:rFonts w:ascii="Arial" w:eastAsia="Arial" w:hAnsi="Arial" w:cs="Arial"/>
          <w:sz w:val="22"/>
          <w:lang w:val="en"/>
        </w:rPr>
      </w:pPr>
    </w:p>
    <w:p w14:paraId="2D0E27DC" w14:textId="77777777" w:rsidR="00C9771B" w:rsidRPr="00C9771B" w:rsidRDefault="00C9771B" w:rsidP="00C9771B">
      <w:pPr>
        <w:spacing w:before="240" w:after="240" w:line="276" w:lineRule="auto"/>
        <w:contextualSpacing/>
        <w:rPr>
          <w:rFonts w:ascii="Arial" w:eastAsia="Arial" w:hAnsi="Arial" w:cs="Arial"/>
          <w:b/>
          <w:sz w:val="22"/>
          <w:lang w:val="en"/>
        </w:rPr>
      </w:pPr>
      <w:r w:rsidRPr="00C9771B">
        <w:rPr>
          <w:rFonts w:ascii="Arial" w:eastAsia="Arial" w:hAnsi="Arial" w:cs="Arial"/>
          <w:b/>
          <w:sz w:val="22"/>
          <w:lang w:val="en"/>
        </w:rPr>
        <w:t>Acknowledgements:</w:t>
      </w:r>
    </w:p>
    <w:p w14:paraId="131BEBC1" w14:textId="77777777" w:rsidR="00C9771B" w:rsidRPr="00C9771B" w:rsidRDefault="00C9771B" w:rsidP="00C9771B">
      <w:pPr>
        <w:spacing w:before="240" w:after="240" w:line="276" w:lineRule="auto"/>
        <w:contextualSpacing/>
        <w:rPr>
          <w:rFonts w:ascii="Arial" w:eastAsia="Arial" w:hAnsi="Arial" w:cs="Arial"/>
          <w:sz w:val="22"/>
          <w:lang w:val="en"/>
        </w:rPr>
      </w:pPr>
      <w:r w:rsidRPr="00C9771B">
        <w:rPr>
          <w:rFonts w:ascii="Arial" w:eastAsia="Arial" w:hAnsi="Arial" w:cs="Arial"/>
          <w:sz w:val="22"/>
          <w:lang w:val="en"/>
        </w:rPr>
        <w:t>The authors would like to thank Dr. Joshua Weitz for his time and willingness to be interviewed for this case study. In addition, we would like to thank GSGA, Dr. Weitz and all participants including students, faculty, and administrators across the state of Georgia, who led change that, in the end, has positively impacted the financial well-being of all university system students.  Their efforts have resulted in not only the complete elimination of the SIF, but also the development of assessment mechanisms that will continue to monitor and advance student stipends.</w:t>
      </w:r>
    </w:p>
    <w:p w14:paraId="313013DF" w14:textId="77777777" w:rsidR="00C9771B" w:rsidRPr="00C9771B" w:rsidRDefault="00C9771B" w:rsidP="00C9771B">
      <w:pPr>
        <w:spacing w:before="240" w:after="240" w:line="276" w:lineRule="auto"/>
        <w:contextualSpacing/>
        <w:rPr>
          <w:rFonts w:ascii="Arial" w:eastAsia="Arial" w:hAnsi="Arial" w:cs="Arial"/>
          <w:sz w:val="22"/>
          <w:lang w:val="en"/>
        </w:rPr>
      </w:pPr>
    </w:p>
    <w:p w14:paraId="1C7713CD" w14:textId="77777777" w:rsidR="00C9771B" w:rsidRPr="00C9771B" w:rsidRDefault="00C9771B" w:rsidP="00C9771B">
      <w:pPr>
        <w:spacing w:before="240" w:after="240" w:line="276" w:lineRule="auto"/>
        <w:contextualSpacing/>
        <w:rPr>
          <w:rFonts w:ascii="Arial" w:eastAsia="Arial" w:hAnsi="Arial" w:cs="Arial"/>
          <w:b/>
          <w:bCs/>
          <w:sz w:val="22"/>
          <w:lang w:val="en"/>
        </w:rPr>
      </w:pPr>
      <w:r w:rsidRPr="00C9771B">
        <w:rPr>
          <w:rFonts w:ascii="Arial" w:eastAsia="Arial" w:hAnsi="Arial" w:cs="Arial"/>
          <w:b/>
          <w:bCs/>
          <w:sz w:val="22"/>
          <w:lang w:val="en"/>
        </w:rPr>
        <w:t>Support:</w:t>
      </w:r>
    </w:p>
    <w:p w14:paraId="1F3F6562" w14:textId="77777777" w:rsidR="00C9771B" w:rsidRPr="00C9771B" w:rsidRDefault="00C9771B" w:rsidP="00C9771B">
      <w:pPr>
        <w:spacing w:before="240" w:after="240" w:line="276" w:lineRule="auto"/>
        <w:contextualSpacing/>
        <w:rPr>
          <w:rFonts w:ascii="Arial" w:eastAsia="Arial" w:hAnsi="Arial" w:cs="Arial"/>
          <w:sz w:val="22"/>
          <w:lang w:val="en"/>
        </w:rPr>
      </w:pPr>
      <w:r w:rsidRPr="00C9771B">
        <w:rPr>
          <w:rFonts w:ascii="Arial" w:eastAsia="Arial" w:hAnsi="Arial" w:cs="Arial"/>
          <w:sz w:val="22"/>
          <w:lang w:val="en"/>
        </w:rPr>
        <w:t>This work was supported by the Georgia Tech Center for Serve-Learn-Sustain Teaching Toolkit Grant Program.</w:t>
      </w:r>
    </w:p>
    <w:p w14:paraId="5E212622" w14:textId="77777777" w:rsidR="00C9771B" w:rsidRPr="00C9771B" w:rsidRDefault="00C9771B" w:rsidP="00C9771B">
      <w:pPr>
        <w:spacing w:before="240" w:after="240" w:line="276" w:lineRule="auto"/>
        <w:contextualSpacing/>
        <w:rPr>
          <w:rFonts w:ascii="Arial" w:eastAsia="Arial" w:hAnsi="Arial" w:cs="Arial"/>
          <w:sz w:val="22"/>
          <w:lang w:val="en"/>
        </w:rPr>
      </w:pPr>
    </w:p>
    <w:p w14:paraId="38C0D5C5" w14:textId="301468E9" w:rsidR="00C9771B" w:rsidRPr="00C9771B" w:rsidRDefault="00C9771B" w:rsidP="00C9771B">
      <w:pPr>
        <w:spacing w:before="240" w:after="240" w:line="276" w:lineRule="auto"/>
        <w:rPr>
          <w:rFonts w:ascii="Arial" w:eastAsia="Arial" w:hAnsi="Arial" w:cs="Arial"/>
          <w:b/>
          <w:sz w:val="22"/>
          <w:lang w:val="en"/>
        </w:rPr>
      </w:pPr>
      <w:r w:rsidRPr="00C9771B">
        <w:rPr>
          <w:rFonts w:ascii="Arial" w:eastAsia="Arial" w:hAnsi="Arial" w:cs="Arial"/>
          <w:b/>
          <w:sz w:val="22"/>
          <w:lang w:val="en"/>
        </w:rPr>
        <w:t>References:</w:t>
      </w:r>
    </w:p>
    <w:p w14:paraId="58D5C43A"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1</w:t>
      </w:r>
      <w:r w:rsidRPr="00C9771B">
        <w:rPr>
          <w:rFonts w:ascii="Arial" w:eastAsia="Arial" w:hAnsi="Arial" w:cs="Arial"/>
          <w:sz w:val="22"/>
          <w:lang w:val="en"/>
        </w:rPr>
        <w:t xml:space="preserve"> Frazier, L. (2022, January 19). </w:t>
      </w:r>
      <w:r w:rsidRPr="00C9771B">
        <w:rPr>
          <w:rFonts w:ascii="Arial" w:eastAsia="Arial" w:hAnsi="Arial" w:cs="Arial"/>
          <w:i/>
          <w:iCs/>
          <w:sz w:val="22"/>
          <w:lang w:val="en"/>
        </w:rPr>
        <w:t>Financial wellness is critical to your overall health - And financial literacy is the key</w:t>
      </w:r>
      <w:r w:rsidRPr="00C9771B">
        <w:rPr>
          <w:rFonts w:ascii="Arial" w:eastAsia="Arial" w:hAnsi="Arial" w:cs="Arial"/>
          <w:sz w:val="22"/>
          <w:lang w:val="en"/>
        </w:rPr>
        <w:t xml:space="preserve">. Forbes. </w:t>
      </w:r>
      <w:hyperlink r:id="rId17" w:history="1">
        <w:r w:rsidRPr="00C9771B">
          <w:rPr>
            <w:rFonts w:ascii="Arial" w:eastAsia="Arial" w:hAnsi="Arial" w:cs="Arial"/>
            <w:color w:val="0000FF"/>
            <w:sz w:val="22"/>
            <w:u w:val="single"/>
            <w:lang w:val="en"/>
          </w:rPr>
          <w:t>https://www.forbes.com/sites/lizfrazierpeck/2022/01/19/financial-wellness-is-critical-to-your-overall-healthand-financial-literacy-is-the-key/?sh=77da0e012cdc</w:t>
        </w:r>
      </w:hyperlink>
    </w:p>
    <w:p w14:paraId="1BD5C0DC"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2</w:t>
      </w:r>
      <w:r w:rsidRPr="00C9771B">
        <w:rPr>
          <w:rFonts w:ascii="Arial" w:eastAsia="Arial" w:hAnsi="Arial" w:cs="Arial"/>
          <w:sz w:val="22"/>
          <w:lang w:val="en"/>
        </w:rPr>
        <w:t xml:space="preserve"> </w:t>
      </w:r>
      <w:r w:rsidRPr="00C9771B">
        <w:rPr>
          <w:rFonts w:ascii="Arial" w:eastAsia="Arial" w:hAnsi="Arial" w:cs="Arial"/>
          <w:i/>
          <w:iCs/>
          <w:sz w:val="22"/>
          <w:lang w:val="en"/>
        </w:rPr>
        <w:t>Undergraduate costs</w:t>
      </w:r>
      <w:r w:rsidRPr="00C9771B">
        <w:rPr>
          <w:rFonts w:ascii="Arial" w:eastAsia="Arial" w:hAnsi="Arial" w:cs="Arial"/>
          <w:sz w:val="22"/>
          <w:lang w:val="en"/>
        </w:rPr>
        <w:t xml:space="preserve">. Ga Tech Office of Scholarships &amp; Financial Aid. </w:t>
      </w:r>
      <w:hyperlink r:id="rId18" w:history="1">
        <w:r w:rsidRPr="00C9771B">
          <w:rPr>
            <w:rFonts w:ascii="Arial" w:eastAsia="Arial" w:hAnsi="Arial" w:cs="Arial"/>
            <w:color w:val="0000FF"/>
            <w:sz w:val="22"/>
            <w:u w:val="single"/>
            <w:lang w:val="en"/>
          </w:rPr>
          <w:t>https://finaid.gatech.edu/costs/undergraduate-costs</w:t>
        </w:r>
      </w:hyperlink>
    </w:p>
    <w:p w14:paraId="72547EF3"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 xml:space="preserve">3 </w:t>
      </w:r>
      <w:r w:rsidRPr="00C9771B">
        <w:rPr>
          <w:rFonts w:ascii="Arial" w:eastAsia="Arial" w:hAnsi="Arial" w:cs="Arial"/>
          <w:i/>
          <w:sz w:val="22"/>
          <w:lang w:val="en"/>
        </w:rPr>
        <w:t>Center for the Study of Student Life Study on Collegiate Financial Wellness.</w:t>
      </w:r>
      <w:r w:rsidRPr="00C9771B">
        <w:rPr>
          <w:rFonts w:ascii="Arial" w:eastAsia="Arial" w:hAnsi="Arial" w:cs="Arial"/>
          <w:sz w:val="22"/>
          <w:lang w:val="en"/>
        </w:rPr>
        <w:t xml:space="preserve"> The Ohio State University Office of Student Life. </w:t>
      </w:r>
      <w:hyperlink r:id="rId19" w:history="1">
        <w:r w:rsidRPr="00C9771B">
          <w:rPr>
            <w:rFonts w:ascii="Arial" w:eastAsia="Arial" w:hAnsi="Arial" w:cs="Arial"/>
            <w:color w:val="0000FF"/>
            <w:sz w:val="22"/>
            <w:u w:val="single"/>
            <w:lang w:val="en"/>
          </w:rPr>
          <w:t>https://cssl.osu.edu/research-projects/study-on-collegiate-financial-wellness/</w:t>
        </w:r>
      </w:hyperlink>
    </w:p>
    <w:p w14:paraId="2E9737F9"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 xml:space="preserve">4 </w:t>
      </w:r>
      <w:r w:rsidRPr="00C9771B">
        <w:rPr>
          <w:rFonts w:ascii="Arial" w:eastAsia="Arial" w:hAnsi="Arial" w:cs="Arial"/>
          <w:sz w:val="22"/>
          <w:lang w:val="en"/>
        </w:rPr>
        <w:t xml:space="preserve">Field, A. (2022, August 8). </w:t>
      </w:r>
      <w:r w:rsidRPr="00C9771B">
        <w:rPr>
          <w:rFonts w:ascii="Arial" w:eastAsia="Arial" w:hAnsi="Arial" w:cs="Arial"/>
          <w:i/>
          <w:sz w:val="22"/>
          <w:lang w:val="en"/>
        </w:rPr>
        <w:t>What caused the Great Recession? Understanding the key factors that led to one of the worst economic downturns in US history</w:t>
      </w:r>
      <w:r w:rsidRPr="00C9771B">
        <w:rPr>
          <w:rFonts w:ascii="Arial" w:eastAsia="Arial" w:hAnsi="Arial" w:cs="Arial"/>
          <w:sz w:val="22"/>
          <w:lang w:val="en"/>
        </w:rPr>
        <w:t xml:space="preserve">. (Jasmine Suarez, Ed.). Insider. </w:t>
      </w:r>
      <w:hyperlink r:id="rId20" w:history="1">
        <w:r w:rsidRPr="00C9771B">
          <w:rPr>
            <w:rFonts w:ascii="Arial" w:eastAsia="Arial" w:hAnsi="Arial" w:cs="Arial"/>
            <w:color w:val="0000FF"/>
            <w:sz w:val="22"/>
            <w:u w:val="single"/>
            <w:lang w:val="en"/>
          </w:rPr>
          <w:t>https://www.businessinsider.com/personal-finance/what-caused-the-great-recession</w:t>
        </w:r>
      </w:hyperlink>
    </w:p>
    <w:p w14:paraId="7A4B237F"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5</w:t>
      </w:r>
      <w:r w:rsidRPr="00C9771B">
        <w:rPr>
          <w:rFonts w:ascii="Arial" w:eastAsia="Arial" w:hAnsi="Arial" w:cs="Arial"/>
          <w:sz w:val="22"/>
          <w:lang w:val="en"/>
        </w:rPr>
        <w:t xml:space="preserve"> </w:t>
      </w:r>
      <w:r w:rsidRPr="00C9771B">
        <w:rPr>
          <w:rFonts w:ascii="Arial" w:eastAsia="Arial" w:hAnsi="Arial" w:cs="Arial"/>
          <w:i/>
          <w:sz w:val="22"/>
          <w:lang w:val="en"/>
        </w:rPr>
        <w:t>Special Institutional Fee fact sheet</w:t>
      </w:r>
      <w:r w:rsidRPr="00C9771B">
        <w:rPr>
          <w:rFonts w:ascii="Arial" w:eastAsia="Arial" w:hAnsi="Arial" w:cs="Arial"/>
          <w:sz w:val="22"/>
          <w:lang w:val="en"/>
        </w:rPr>
        <w:t xml:space="preserve">. University of Georgia Bursar and Treasury Services. </w:t>
      </w:r>
      <w:hyperlink r:id="rId21" w:history="1">
        <w:r w:rsidRPr="00C9771B">
          <w:rPr>
            <w:rFonts w:ascii="Arial" w:eastAsia="Arial" w:hAnsi="Arial" w:cs="Arial"/>
            <w:color w:val="0000FF"/>
            <w:sz w:val="22"/>
            <w:u w:val="single"/>
            <w:lang w:val="en"/>
          </w:rPr>
          <w:t>https://busfin.uga.edu/bursar/tuition_special_inst_fee_fact_sheet_1920.pdf</w:t>
        </w:r>
      </w:hyperlink>
    </w:p>
    <w:p w14:paraId="2F9DA963"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6</w:t>
      </w:r>
      <w:r w:rsidRPr="00C9771B">
        <w:rPr>
          <w:rFonts w:ascii="Arial" w:eastAsia="Arial" w:hAnsi="Arial" w:cs="Arial"/>
          <w:sz w:val="22"/>
          <w:lang w:val="en"/>
        </w:rPr>
        <w:t xml:space="preserve"> </w:t>
      </w:r>
      <w:r w:rsidRPr="00C9771B">
        <w:rPr>
          <w:rFonts w:ascii="Arial" w:eastAsia="Arial" w:hAnsi="Arial" w:cs="Arial"/>
          <w:i/>
          <w:sz w:val="22"/>
          <w:lang w:val="en"/>
        </w:rPr>
        <w:t>Special Institutional Fee frequently asked questions</w:t>
      </w:r>
      <w:r w:rsidRPr="00C9771B">
        <w:rPr>
          <w:rFonts w:ascii="Arial" w:eastAsia="Arial" w:hAnsi="Arial" w:cs="Arial"/>
          <w:sz w:val="22"/>
          <w:lang w:val="en"/>
        </w:rPr>
        <w:t xml:space="preserve">. Georgia Tech Institute Budget Planning and Administration. </w:t>
      </w:r>
      <w:hyperlink r:id="rId22" w:history="1">
        <w:r w:rsidRPr="00C9771B">
          <w:rPr>
            <w:rFonts w:ascii="Arial" w:eastAsia="Arial" w:hAnsi="Arial" w:cs="Arial"/>
            <w:color w:val="0000FF"/>
            <w:sz w:val="22"/>
            <w:u w:val="single"/>
            <w:lang w:val="en"/>
          </w:rPr>
          <w:t>https://www.budgets.gatech.edu/File?F=SIF_FAQs.pdf</w:t>
        </w:r>
      </w:hyperlink>
    </w:p>
    <w:p w14:paraId="4E78042B"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7</w:t>
      </w:r>
      <w:r w:rsidRPr="00C9771B">
        <w:rPr>
          <w:rFonts w:ascii="Arial" w:eastAsia="Arial" w:hAnsi="Arial" w:cs="Arial"/>
          <w:sz w:val="22"/>
          <w:lang w:val="en"/>
        </w:rPr>
        <w:t xml:space="preserve"> </w:t>
      </w:r>
      <w:r w:rsidRPr="00C9771B">
        <w:rPr>
          <w:rFonts w:ascii="Arial" w:eastAsia="Arial" w:hAnsi="Arial" w:cs="Arial"/>
          <w:i/>
          <w:iCs/>
          <w:sz w:val="22"/>
          <w:lang w:val="en"/>
        </w:rPr>
        <w:t>7.3 Tuition and fees</w:t>
      </w:r>
      <w:r w:rsidRPr="00C9771B">
        <w:rPr>
          <w:rFonts w:ascii="Arial" w:eastAsia="Arial" w:hAnsi="Arial" w:cs="Arial"/>
          <w:sz w:val="22"/>
          <w:lang w:val="en"/>
        </w:rPr>
        <w:t xml:space="preserve">. University System of Georgia Board of Regents Policy Manual.  </w:t>
      </w:r>
      <w:hyperlink r:id="rId23" w:history="1">
        <w:r w:rsidRPr="00C9771B">
          <w:rPr>
            <w:rFonts w:ascii="Arial" w:eastAsia="Arial" w:hAnsi="Arial" w:cs="Arial"/>
            <w:color w:val="0000FF"/>
            <w:sz w:val="22"/>
            <w:u w:val="single"/>
            <w:lang w:val="en"/>
          </w:rPr>
          <w:t>https://www.usg.edu/policymanual/section7/C453</w:t>
        </w:r>
      </w:hyperlink>
    </w:p>
    <w:p w14:paraId="6D44D137"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 xml:space="preserve">8 </w:t>
      </w:r>
      <w:r w:rsidRPr="00C9771B">
        <w:rPr>
          <w:rFonts w:ascii="Arial" w:eastAsia="Arial" w:hAnsi="Arial" w:cs="Arial"/>
          <w:i/>
          <w:iCs/>
          <w:sz w:val="22"/>
          <w:lang w:val="en"/>
        </w:rPr>
        <w:t>Meeting summary: Mandatory Student Fee Advisory Committee (MSFAC)</w:t>
      </w:r>
      <w:r w:rsidRPr="00C9771B">
        <w:rPr>
          <w:rFonts w:ascii="Arial" w:eastAsia="Arial" w:hAnsi="Arial" w:cs="Arial"/>
          <w:sz w:val="22"/>
          <w:lang w:val="en"/>
        </w:rPr>
        <w:t xml:space="preserve">. Georgia Tech Institute Budget Planning and Administration. </w:t>
      </w:r>
      <w:hyperlink r:id="rId24" w:history="1">
        <w:r w:rsidRPr="00C9771B">
          <w:rPr>
            <w:rFonts w:ascii="Arial" w:eastAsia="Arial" w:hAnsi="Arial" w:cs="Arial"/>
            <w:color w:val="0000FF"/>
            <w:sz w:val="22"/>
            <w:u w:val="single"/>
            <w:lang w:val="en"/>
          </w:rPr>
          <w:t>http://www.budgets.gatech.edu/File?F=Hist%2FMSFAC%2F16MSFACMinutes-Meeting%203.pdf</w:t>
        </w:r>
      </w:hyperlink>
    </w:p>
    <w:p w14:paraId="041B24E5"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9</w:t>
      </w:r>
      <w:r w:rsidRPr="00C9771B">
        <w:rPr>
          <w:rFonts w:ascii="Arial" w:eastAsia="Arial" w:hAnsi="Arial" w:cs="Arial"/>
          <w:sz w:val="22"/>
          <w:lang w:val="en"/>
        </w:rPr>
        <w:t xml:space="preserve"> Washington, A. (2014, April 7). </w:t>
      </w:r>
      <w:r w:rsidRPr="00C9771B">
        <w:rPr>
          <w:rFonts w:ascii="Arial" w:eastAsia="Arial" w:hAnsi="Arial" w:cs="Arial"/>
          <w:i/>
          <w:iCs/>
          <w:sz w:val="22"/>
          <w:lang w:val="en"/>
        </w:rPr>
        <w:t>SIF fee needs to be reduced</w:t>
      </w:r>
      <w:r w:rsidRPr="00C9771B">
        <w:rPr>
          <w:rFonts w:ascii="Arial" w:eastAsia="Arial" w:hAnsi="Arial" w:cs="Arial"/>
          <w:sz w:val="22"/>
          <w:lang w:val="en"/>
        </w:rPr>
        <w:t xml:space="preserve">. Technique. </w:t>
      </w:r>
      <w:hyperlink r:id="rId25">
        <w:r w:rsidRPr="00C9771B">
          <w:rPr>
            <w:rFonts w:ascii="Arial" w:eastAsia="Arial" w:hAnsi="Arial" w:cs="Arial"/>
            <w:color w:val="0000FF"/>
            <w:sz w:val="22"/>
            <w:u w:val="single"/>
            <w:lang w:val="en"/>
          </w:rPr>
          <w:t>https://nique.net/opinions/2014/04/07/sif-fee-needs-to-be-reduced/</w:t>
        </w:r>
      </w:hyperlink>
    </w:p>
    <w:p w14:paraId="206306B0"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10</w:t>
      </w:r>
      <w:r w:rsidRPr="00C9771B">
        <w:rPr>
          <w:rFonts w:ascii="Arial" w:eastAsia="Arial" w:hAnsi="Arial" w:cs="Arial"/>
          <w:sz w:val="22"/>
          <w:lang w:val="en"/>
        </w:rPr>
        <w:t xml:space="preserve"> Downey, M., &amp; Weitz, J. (2019, March 31). </w:t>
      </w:r>
      <w:r w:rsidRPr="00C9771B">
        <w:rPr>
          <w:rFonts w:ascii="Arial" w:eastAsia="Arial" w:hAnsi="Arial" w:cs="Arial"/>
          <w:i/>
          <w:iCs/>
          <w:sz w:val="22"/>
          <w:lang w:val="en"/>
        </w:rPr>
        <w:t>Opinion: Roll back Georgia’s ‘temporary’ fees on college students</w:t>
      </w:r>
      <w:r w:rsidRPr="00C9771B">
        <w:rPr>
          <w:rFonts w:ascii="Arial" w:eastAsia="Arial" w:hAnsi="Arial" w:cs="Arial"/>
          <w:sz w:val="22"/>
          <w:lang w:val="en"/>
        </w:rPr>
        <w:t xml:space="preserve">. The Atlanta-Journal Constitution. </w:t>
      </w:r>
      <w:hyperlink r:id="rId26">
        <w:r w:rsidRPr="00C9771B">
          <w:rPr>
            <w:rFonts w:ascii="Arial" w:eastAsia="Arial" w:hAnsi="Arial" w:cs="Arial"/>
            <w:color w:val="0000FF"/>
            <w:sz w:val="22"/>
            <w:u w:val="single"/>
            <w:lang w:val="en"/>
          </w:rPr>
          <w:t>https://www.ajc.com/blog/get-schooled/opinion-roll-back-georgia-temporary-fees-college-students/fa6WDFD67vo1WxUkWVGxjO/</w:t>
        </w:r>
      </w:hyperlink>
    </w:p>
    <w:p w14:paraId="120448D6"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 xml:space="preserve">11 </w:t>
      </w:r>
      <w:r w:rsidRPr="00C9771B">
        <w:rPr>
          <w:rFonts w:ascii="Arial" w:eastAsia="Arial" w:hAnsi="Arial" w:cs="Arial"/>
          <w:sz w:val="22"/>
          <w:lang w:val="en"/>
        </w:rPr>
        <w:t xml:space="preserve">Langin, K. (2019, August 12). </w:t>
      </w:r>
      <w:r w:rsidRPr="00C9771B">
        <w:rPr>
          <w:rFonts w:ascii="Arial" w:eastAsia="Arial" w:hAnsi="Arial" w:cs="Arial"/>
          <w:i/>
          <w:iCs/>
          <w:sz w:val="22"/>
          <w:lang w:val="en"/>
        </w:rPr>
        <w:t>Hefty university fees are sending some grad students to food banks</w:t>
      </w:r>
      <w:r w:rsidRPr="00C9771B">
        <w:rPr>
          <w:rFonts w:ascii="Arial" w:eastAsia="Arial" w:hAnsi="Arial" w:cs="Arial"/>
          <w:sz w:val="22"/>
          <w:lang w:val="en"/>
        </w:rPr>
        <w:t xml:space="preserve">. </w:t>
      </w:r>
      <w:hyperlink r:id="rId27" w:history="1">
        <w:r w:rsidRPr="00C9771B">
          <w:rPr>
            <w:rFonts w:ascii="Arial" w:eastAsia="Arial" w:hAnsi="Arial" w:cs="Arial"/>
            <w:color w:val="0000FF"/>
            <w:sz w:val="22"/>
            <w:u w:val="single"/>
            <w:lang w:val="en"/>
          </w:rPr>
          <w:t>https://www.science.org/content/article/hefty-university-fees-are-sending-some-grad-students-food-banks</w:t>
        </w:r>
      </w:hyperlink>
    </w:p>
    <w:p w14:paraId="496AE460"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13</w:t>
      </w:r>
      <w:r w:rsidRPr="00C9771B">
        <w:rPr>
          <w:rFonts w:ascii="Arial" w:eastAsia="Arial" w:hAnsi="Arial" w:cs="Arial"/>
          <w:sz w:val="22"/>
          <w:lang w:val="en"/>
        </w:rPr>
        <w:t xml:space="preserve"> Georgia Tech (2023, April 12). </w:t>
      </w:r>
      <w:r w:rsidRPr="00C9771B">
        <w:rPr>
          <w:rFonts w:ascii="Arial" w:eastAsia="Arial" w:hAnsi="Arial" w:cs="Arial"/>
          <w:i/>
          <w:iCs/>
          <w:sz w:val="22"/>
          <w:lang w:val="en"/>
        </w:rPr>
        <w:t xml:space="preserve">Graduate student financial </w:t>
      </w:r>
      <w:proofErr w:type="spellStart"/>
      <w:r w:rsidRPr="00C9771B">
        <w:rPr>
          <w:rFonts w:ascii="Arial" w:eastAsia="Arial" w:hAnsi="Arial" w:cs="Arial"/>
          <w:i/>
          <w:iCs/>
          <w:sz w:val="22"/>
          <w:lang w:val="en"/>
        </w:rPr>
        <w:t>well being</w:t>
      </w:r>
      <w:proofErr w:type="spellEnd"/>
      <w:r w:rsidRPr="00C9771B">
        <w:rPr>
          <w:rFonts w:ascii="Arial" w:eastAsia="Arial" w:hAnsi="Arial" w:cs="Arial"/>
          <w:i/>
          <w:iCs/>
          <w:sz w:val="22"/>
          <w:lang w:val="en"/>
        </w:rPr>
        <w:t xml:space="preserve"> considered, new solutions to be implemented</w:t>
      </w:r>
      <w:r w:rsidRPr="00C9771B">
        <w:rPr>
          <w:rFonts w:ascii="Arial" w:eastAsia="Arial" w:hAnsi="Arial" w:cs="Arial"/>
          <w:sz w:val="22"/>
          <w:lang w:val="en"/>
        </w:rPr>
        <w:t xml:space="preserve">. Georgia Tech Office of Graduate Education. </w:t>
      </w:r>
      <w:hyperlink r:id="rId28" w:history="1">
        <w:r w:rsidRPr="00C9771B">
          <w:rPr>
            <w:rFonts w:ascii="Arial" w:eastAsia="Arial" w:hAnsi="Arial" w:cs="Arial"/>
            <w:color w:val="0000FF"/>
            <w:sz w:val="22"/>
            <w:u w:val="single"/>
            <w:lang w:val="en"/>
          </w:rPr>
          <w:t>https://grad.gatech.edu/news/graduate-student-financial-well-being-considered-new-solutions-be-implemented</w:t>
        </w:r>
      </w:hyperlink>
    </w:p>
    <w:p w14:paraId="24C81E47"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lastRenderedPageBreak/>
        <w:t>14</w:t>
      </w:r>
      <w:r w:rsidRPr="00C9771B">
        <w:rPr>
          <w:rFonts w:ascii="Arial" w:eastAsia="Arial" w:hAnsi="Arial" w:cs="Arial"/>
          <w:sz w:val="22"/>
          <w:lang w:val="en"/>
        </w:rPr>
        <w:t xml:space="preserve"> Garcia, E. (2021, March 24). </w:t>
      </w:r>
      <w:r w:rsidRPr="00C9771B">
        <w:rPr>
          <w:rFonts w:ascii="Arial" w:eastAsia="Arial" w:hAnsi="Arial" w:cs="Arial"/>
          <w:i/>
          <w:iCs/>
          <w:sz w:val="22"/>
          <w:lang w:val="en"/>
        </w:rPr>
        <w:t>UGA graduate students advocate for repeal of special institution fee</w:t>
      </w:r>
      <w:r w:rsidRPr="00C9771B">
        <w:rPr>
          <w:rFonts w:ascii="Arial" w:eastAsia="Arial" w:hAnsi="Arial" w:cs="Arial"/>
          <w:sz w:val="22"/>
          <w:lang w:val="en"/>
        </w:rPr>
        <w:t xml:space="preserve">. The Red and Black. </w:t>
      </w:r>
      <w:hyperlink r:id="rId29" w:history="1">
        <w:r w:rsidRPr="00C9771B">
          <w:rPr>
            <w:rFonts w:ascii="Arial" w:eastAsia="Arial" w:hAnsi="Arial" w:cs="Arial"/>
            <w:color w:val="0000FF"/>
            <w:sz w:val="22"/>
            <w:u w:val="single"/>
            <w:lang w:val="en"/>
          </w:rPr>
          <w:t>https://www.redandblack.com/uganews/uga-graduate-students-advocate-for-repeal-of-special-institution-fee/article_7584d40a-8cc1-11eb-a1c9-37ece6adea7f.html</w:t>
        </w:r>
      </w:hyperlink>
    </w:p>
    <w:p w14:paraId="2C3E56BF"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15</w:t>
      </w:r>
      <w:r w:rsidRPr="00C9771B">
        <w:rPr>
          <w:rFonts w:ascii="Arial" w:eastAsia="Arial" w:hAnsi="Arial" w:cs="Arial"/>
          <w:sz w:val="22"/>
          <w:lang w:val="en"/>
        </w:rPr>
        <w:t xml:space="preserve"> Moges, N. (2021, November 4). </w:t>
      </w:r>
      <w:r w:rsidRPr="00C9771B">
        <w:rPr>
          <w:rFonts w:ascii="Arial" w:eastAsia="Arial" w:hAnsi="Arial" w:cs="Arial"/>
          <w:i/>
          <w:iCs/>
          <w:sz w:val="22"/>
          <w:lang w:val="en"/>
        </w:rPr>
        <w:t>High university fees concern lawmakers</w:t>
      </w:r>
      <w:r w:rsidRPr="00C9771B">
        <w:rPr>
          <w:rFonts w:ascii="Arial" w:eastAsia="Arial" w:hAnsi="Arial" w:cs="Arial"/>
          <w:sz w:val="22"/>
          <w:lang w:val="en"/>
        </w:rPr>
        <w:t xml:space="preserve">. GPB News. </w:t>
      </w:r>
      <w:hyperlink r:id="rId30" w:history="1">
        <w:r w:rsidRPr="00C9771B">
          <w:rPr>
            <w:rFonts w:ascii="Arial" w:eastAsia="Arial" w:hAnsi="Arial" w:cs="Arial"/>
            <w:color w:val="0000FF"/>
            <w:sz w:val="22"/>
            <w:u w:val="single"/>
            <w:lang w:val="en"/>
          </w:rPr>
          <w:t>https://www.gpb.org/news/2021/11/04/high-university-fees-concern-lawmakers</w:t>
        </w:r>
      </w:hyperlink>
    </w:p>
    <w:p w14:paraId="6E92A5C4"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16</w:t>
      </w:r>
      <w:r w:rsidRPr="00C9771B">
        <w:rPr>
          <w:rFonts w:ascii="Arial" w:eastAsia="Arial" w:hAnsi="Arial" w:cs="Arial"/>
          <w:sz w:val="22"/>
          <w:lang w:val="en"/>
        </w:rPr>
        <w:t xml:space="preserve"> Lee, J. (2022, January 26). </w:t>
      </w:r>
      <w:r w:rsidRPr="00C9771B">
        <w:rPr>
          <w:rFonts w:ascii="Arial" w:eastAsia="Arial" w:hAnsi="Arial" w:cs="Arial"/>
          <w:i/>
          <w:iCs/>
          <w:sz w:val="22"/>
          <w:lang w:val="en"/>
        </w:rPr>
        <w:t>4 ways Georgia lawmakers can make college more affordable in 2021</w:t>
      </w:r>
      <w:r w:rsidRPr="00C9771B">
        <w:rPr>
          <w:rFonts w:ascii="Arial" w:eastAsia="Arial" w:hAnsi="Arial" w:cs="Arial"/>
          <w:sz w:val="22"/>
          <w:lang w:val="en"/>
        </w:rPr>
        <w:t xml:space="preserve">. Georgia Budget &amp; Policy Institute. </w:t>
      </w:r>
      <w:hyperlink r:id="rId31" w:anchor=":~:text=4%20Ways%20Georgia%20Lawmakers%20Can%20Make%20College%20More,state-funded%20student%20loans%20and%20provide%20debt%20relief.%20" w:history="1">
        <w:r w:rsidRPr="00C9771B">
          <w:rPr>
            <w:rFonts w:ascii="Arial" w:eastAsia="Arial" w:hAnsi="Arial" w:cs="Arial"/>
            <w:color w:val="0000FF"/>
            <w:sz w:val="22"/>
            <w:u w:val="single"/>
            <w:lang w:val="en"/>
          </w:rPr>
          <w:t>https://gbpi.org/4-ways-georgia-lawmakers-can-make-college-more-affordable-in-2022/#:~:text=4%20Ways%20Georgia%20Lawmakers%20Can%20Make%20College%20More,state-funded%20student%20loans%20and%20provide%20debt%20relief.%20</w:t>
        </w:r>
      </w:hyperlink>
    </w:p>
    <w:p w14:paraId="0AEE3BE1" w14:textId="77777777" w:rsidR="00C9771B" w:rsidRPr="00C9771B" w:rsidRDefault="00C9771B" w:rsidP="00C9771B">
      <w:pPr>
        <w:spacing w:before="240" w:after="240" w:line="276" w:lineRule="auto"/>
        <w:rPr>
          <w:rFonts w:ascii="Arial" w:eastAsia="Arial" w:hAnsi="Arial" w:cs="Arial"/>
          <w:sz w:val="22"/>
          <w:lang w:val="en"/>
        </w:rPr>
      </w:pPr>
      <w:r w:rsidRPr="00C9771B">
        <w:rPr>
          <w:rFonts w:ascii="Arial" w:eastAsia="Arial" w:hAnsi="Arial" w:cs="Arial"/>
          <w:sz w:val="22"/>
          <w:vertAlign w:val="superscript"/>
          <w:lang w:val="en"/>
        </w:rPr>
        <w:t xml:space="preserve">17 </w:t>
      </w:r>
      <w:r w:rsidRPr="00C9771B">
        <w:rPr>
          <w:rFonts w:ascii="Arial" w:eastAsia="Arial" w:hAnsi="Arial" w:cs="Arial"/>
          <w:sz w:val="22"/>
          <w:lang w:val="en"/>
        </w:rPr>
        <w:t xml:space="preserve">University System of Georgia (2022, April 12). </w:t>
      </w:r>
      <w:r w:rsidRPr="00C9771B">
        <w:rPr>
          <w:rFonts w:ascii="Arial" w:eastAsia="Arial" w:hAnsi="Arial" w:cs="Arial"/>
          <w:i/>
          <w:iCs/>
          <w:sz w:val="22"/>
          <w:lang w:val="en"/>
        </w:rPr>
        <w:t>Board of Regents approves no tuition increase for the 2022-23 academic year, with one exception</w:t>
      </w:r>
      <w:r w:rsidRPr="00C9771B">
        <w:rPr>
          <w:rFonts w:ascii="Arial" w:eastAsia="Arial" w:hAnsi="Arial" w:cs="Arial"/>
          <w:sz w:val="22"/>
          <w:lang w:val="en"/>
        </w:rPr>
        <w:t xml:space="preserve">. Communications Office News Release. </w:t>
      </w:r>
      <w:hyperlink r:id="rId32" w:history="1">
        <w:r w:rsidRPr="00C9771B">
          <w:rPr>
            <w:rFonts w:ascii="Arial" w:eastAsia="Arial" w:hAnsi="Arial" w:cs="Arial"/>
            <w:color w:val="0000FF"/>
            <w:sz w:val="22"/>
            <w:u w:val="single"/>
            <w:lang w:val="en"/>
          </w:rPr>
          <w:t>https://www.usg.edu/news/release/board_of_regents_approves_no_tuition_increase_at_25_of_26_institutions_for_the_2022_23_academic_year</w:t>
        </w:r>
      </w:hyperlink>
    </w:p>
    <w:p w14:paraId="707BDAF6" w14:textId="77777777" w:rsidR="00C9771B" w:rsidRPr="00C9771B" w:rsidRDefault="00C9771B" w:rsidP="00C9771B">
      <w:pPr>
        <w:spacing w:before="240" w:after="240" w:line="276" w:lineRule="auto"/>
        <w:rPr>
          <w:rFonts w:ascii="Arial" w:eastAsia="Arial" w:hAnsi="Arial" w:cs="Arial"/>
          <w:sz w:val="22"/>
          <w:lang w:val="en"/>
        </w:rPr>
      </w:pPr>
    </w:p>
    <w:p w14:paraId="5A8C005C" w14:textId="77777777" w:rsidR="00C9771B" w:rsidRPr="00C9771B" w:rsidRDefault="00C9771B" w:rsidP="00C9771B">
      <w:pPr>
        <w:spacing w:before="240" w:after="240" w:line="276" w:lineRule="auto"/>
        <w:rPr>
          <w:rFonts w:ascii="Arial" w:eastAsia="Arial" w:hAnsi="Arial" w:cs="Arial"/>
          <w:sz w:val="22"/>
          <w:lang w:val="en"/>
        </w:rPr>
      </w:pPr>
    </w:p>
    <w:p w14:paraId="1A7CAE14" w14:textId="77777777" w:rsidR="00DB533F" w:rsidRPr="00ED446D" w:rsidRDefault="00DB533F" w:rsidP="00C9771B">
      <w:pPr>
        <w:snapToGrid w:val="0"/>
        <w:spacing w:after="120" w:line="240" w:lineRule="auto"/>
        <w:rPr>
          <w:rFonts w:ascii="Arial" w:hAnsi="Arial" w:cs="Arial"/>
          <w:sz w:val="22"/>
        </w:rPr>
      </w:pPr>
    </w:p>
    <w:sectPr w:rsidR="00DB533F" w:rsidRPr="00ED446D" w:rsidSect="008B159A">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276D" w14:textId="77777777" w:rsidR="00217BD3" w:rsidRDefault="00217BD3" w:rsidP="009302B8">
      <w:pPr>
        <w:spacing w:line="240" w:lineRule="auto"/>
      </w:pPr>
      <w:r>
        <w:separator/>
      </w:r>
    </w:p>
  </w:endnote>
  <w:endnote w:type="continuationSeparator" w:id="0">
    <w:p w14:paraId="549D7AF9" w14:textId="77777777" w:rsidR="00217BD3" w:rsidRDefault="00217BD3" w:rsidP="00930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itesse Medium">
    <w:altName w:val="Calibri"/>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C27B" w14:textId="77777777" w:rsidR="009302B8" w:rsidRPr="008B159A" w:rsidRDefault="00154973" w:rsidP="008B159A">
    <w:pPr>
      <w:tabs>
        <w:tab w:val="center" w:pos="4680"/>
        <w:tab w:val="right" w:pos="9360"/>
      </w:tabs>
      <w:spacing w:line="240" w:lineRule="auto"/>
      <w:rPr>
        <w:rFonts w:ascii="Arial" w:eastAsia="Calibri" w:hAnsi="Arial" w:cs="Arial"/>
        <w:sz w:val="20"/>
        <w:szCs w:val="20"/>
      </w:rPr>
    </w:pPr>
    <w:hyperlink r:id="rId1" w:history="1">
      <w:r w:rsidR="009302B8" w:rsidRPr="008B159A">
        <w:rPr>
          <w:rStyle w:val="Hyperlink"/>
          <w:rFonts w:ascii="Arial" w:eastAsia="Calibri" w:hAnsi="Arial" w:cs="Arial"/>
          <w:color w:val="auto"/>
          <w:sz w:val="20"/>
          <w:szCs w:val="20"/>
          <w:u w:val="none"/>
        </w:rPr>
        <w:t>http://serve-learn-sustain.gatech.edu/teaching-toolkit</w:t>
      </w:r>
    </w:hyperlink>
    <w:r w:rsidR="009302B8" w:rsidRPr="008B159A">
      <w:rPr>
        <w:rFonts w:ascii="Arial" w:eastAsia="Calibri" w:hAnsi="Arial" w:cs="Arial"/>
        <w:sz w:val="20"/>
        <w:szCs w:val="20"/>
      </w:rPr>
      <w:t xml:space="preserve"> </w:t>
    </w:r>
    <w:r w:rsidR="009302B8" w:rsidRPr="008B159A">
      <w:rPr>
        <w:rFonts w:ascii="Arial" w:eastAsia="Calibri" w:hAnsi="Arial" w:cs="Arial"/>
        <w:sz w:val="20"/>
        <w:szCs w:val="20"/>
      </w:rPr>
      <w:tab/>
    </w:r>
    <w:r w:rsidR="00DA4806">
      <w:fldChar w:fldCharType="begin"/>
    </w:r>
    <w:r w:rsidR="00DA4806">
      <w:instrText xml:space="preserve"> PAGE   \* MERGEFORMAT </w:instrText>
    </w:r>
    <w:r w:rsidR="00DA4806">
      <w:fldChar w:fldCharType="separate"/>
    </w:r>
    <w:r w:rsidR="003860B9">
      <w:rPr>
        <w:rFonts w:ascii="Arial" w:eastAsia="Calibri" w:hAnsi="Arial" w:cs="Arial"/>
        <w:noProof/>
        <w:sz w:val="20"/>
        <w:szCs w:val="20"/>
      </w:rPr>
      <w:t>1</w:t>
    </w:r>
    <w:r w:rsidR="00DA4806">
      <w:rPr>
        <w:rFonts w:ascii="Arial" w:eastAsia="Calibri"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5D84" w14:textId="77777777" w:rsidR="00217BD3" w:rsidRDefault="00217BD3" w:rsidP="009302B8">
      <w:pPr>
        <w:spacing w:line="240" w:lineRule="auto"/>
      </w:pPr>
      <w:r>
        <w:separator/>
      </w:r>
    </w:p>
  </w:footnote>
  <w:footnote w:type="continuationSeparator" w:id="0">
    <w:p w14:paraId="3E084F74" w14:textId="77777777" w:rsidR="00217BD3" w:rsidRDefault="00217BD3" w:rsidP="009302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99B"/>
    <w:multiLevelType w:val="hybridMultilevel"/>
    <w:tmpl w:val="827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61BA1"/>
    <w:multiLevelType w:val="hybridMultilevel"/>
    <w:tmpl w:val="C766355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B0415C9"/>
    <w:multiLevelType w:val="hybridMultilevel"/>
    <w:tmpl w:val="07E099EE"/>
    <w:lvl w:ilvl="0" w:tplc="CEA8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05969"/>
    <w:multiLevelType w:val="hybridMultilevel"/>
    <w:tmpl w:val="D190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D10A19"/>
    <w:multiLevelType w:val="hybridMultilevel"/>
    <w:tmpl w:val="C766355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7BC03CD"/>
    <w:multiLevelType w:val="hybridMultilevel"/>
    <w:tmpl w:val="5F8AA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251CA"/>
    <w:multiLevelType w:val="hybridMultilevel"/>
    <w:tmpl w:val="0FB04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7177C"/>
    <w:multiLevelType w:val="hybridMultilevel"/>
    <w:tmpl w:val="3C62C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5954165">
    <w:abstractNumId w:val="4"/>
  </w:num>
  <w:num w:numId="2" w16cid:durableId="265310777">
    <w:abstractNumId w:val="2"/>
  </w:num>
  <w:num w:numId="3" w16cid:durableId="128787324">
    <w:abstractNumId w:val="7"/>
  </w:num>
  <w:num w:numId="4" w16cid:durableId="439765439">
    <w:abstractNumId w:val="6"/>
  </w:num>
  <w:num w:numId="5" w16cid:durableId="1627198518">
    <w:abstractNumId w:val="0"/>
  </w:num>
  <w:num w:numId="6" w16cid:durableId="6837209">
    <w:abstractNumId w:val="1"/>
  </w:num>
  <w:num w:numId="7" w16cid:durableId="1664435983">
    <w:abstractNumId w:val="5"/>
  </w:num>
  <w:num w:numId="8" w16cid:durableId="1234239871">
    <w:abstractNumId w:val="3"/>
  </w:num>
  <w:num w:numId="9" w16cid:durableId="729884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B8"/>
    <w:rsid w:val="000152A3"/>
    <w:rsid w:val="00030E86"/>
    <w:rsid w:val="0005462F"/>
    <w:rsid w:val="000810C0"/>
    <w:rsid w:val="000C548B"/>
    <w:rsid w:val="000E4F4C"/>
    <w:rsid w:val="0011099D"/>
    <w:rsid w:val="00117598"/>
    <w:rsid w:val="00126420"/>
    <w:rsid w:val="00154973"/>
    <w:rsid w:val="00177E21"/>
    <w:rsid w:val="00184AC7"/>
    <w:rsid w:val="001A350D"/>
    <w:rsid w:val="001C1F0D"/>
    <w:rsid w:val="001C7E4B"/>
    <w:rsid w:val="001F12C7"/>
    <w:rsid w:val="00211B1E"/>
    <w:rsid w:val="00214C06"/>
    <w:rsid w:val="00215F2F"/>
    <w:rsid w:val="00217BD3"/>
    <w:rsid w:val="00245FBE"/>
    <w:rsid w:val="002611F5"/>
    <w:rsid w:val="00264C2F"/>
    <w:rsid w:val="002802C5"/>
    <w:rsid w:val="002855A7"/>
    <w:rsid w:val="00291300"/>
    <w:rsid w:val="002A6288"/>
    <w:rsid w:val="002E2A0B"/>
    <w:rsid w:val="002E5FBE"/>
    <w:rsid w:val="002E73A7"/>
    <w:rsid w:val="002F2DF4"/>
    <w:rsid w:val="003066BD"/>
    <w:rsid w:val="00324DE0"/>
    <w:rsid w:val="003319FB"/>
    <w:rsid w:val="00333F52"/>
    <w:rsid w:val="00355CE2"/>
    <w:rsid w:val="003568C4"/>
    <w:rsid w:val="00383ED4"/>
    <w:rsid w:val="003860B9"/>
    <w:rsid w:val="003914C5"/>
    <w:rsid w:val="003926C2"/>
    <w:rsid w:val="003D14EA"/>
    <w:rsid w:val="003D3712"/>
    <w:rsid w:val="00405D21"/>
    <w:rsid w:val="004155C9"/>
    <w:rsid w:val="0042332F"/>
    <w:rsid w:val="00427F69"/>
    <w:rsid w:val="004A19D1"/>
    <w:rsid w:val="004E4312"/>
    <w:rsid w:val="004F52C2"/>
    <w:rsid w:val="00532FE5"/>
    <w:rsid w:val="005514FE"/>
    <w:rsid w:val="00577946"/>
    <w:rsid w:val="005D44F0"/>
    <w:rsid w:val="005F1419"/>
    <w:rsid w:val="00607FD0"/>
    <w:rsid w:val="00610718"/>
    <w:rsid w:val="00622EDA"/>
    <w:rsid w:val="00641225"/>
    <w:rsid w:val="0064445F"/>
    <w:rsid w:val="00660BCF"/>
    <w:rsid w:val="006704BA"/>
    <w:rsid w:val="00673C12"/>
    <w:rsid w:val="00675D3E"/>
    <w:rsid w:val="006903F8"/>
    <w:rsid w:val="006B7E68"/>
    <w:rsid w:val="006C2499"/>
    <w:rsid w:val="007141A4"/>
    <w:rsid w:val="007169C6"/>
    <w:rsid w:val="007368D0"/>
    <w:rsid w:val="0074195F"/>
    <w:rsid w:val="0074773B"/>
    <w:rsid w:val="0075702B"/>
    <w:rsid w:val="00791244"/>
    <w:rsid w:val="00796DA6"/>
    <w:rsid w:val="00805EED"/>
    <w:rsid w:val="00812F2D"/>
    <w:rsid w:val="0084515F"/>
    <w:rsid w:val="00851360"/>
    <w:rsid w:val="0087628F"/>
    <w:rsid w:val="008847F6"/>
    <w:rsid w:val="008873EE"/>
    <w:rsid w:val="008A5FDC"/>
    <w:rsid w:val="008B159A"/>
    <w:rsid w:val="008C7A3E"/>
    <w:rsid w:val="008D123B"/>
    <w:rsid w:val="008F0E81"/>
    <w:rsid w:val="00913DAC"/>
    <w:rsid w:val="00916C5A"/>
    <w:rsid w:val="00920BFE"/>
    <w:rsid w:val="00922EAE"/>
    <w:rsid w:val="009238A2"/>
    <w:rsid w:val="00923A6D"/>
    <w:rsid w:val="009302B8"/>
    <w:rsid w:val="00935317"/>
    <w:rsid w:val="00950DAD"/>
    <w:rsid w:val="009721D6"/>
    <w:rsid w:val="009A5B67"/>
    <w:rsid w:val="009B6E3C"/>
    <w:rsid w:val="009E637D"/>
    <w:rsid w:val="00A75B3C"/>
    <w:rsid w:val="00A97E98"/>
    <w:rsid w:val="00AA00C2"/>
    <w:rsid w:val="00AD0C93"/>
    <w:rsid w:val="00B07CB5"/>
    <w:rsid w:val="00B137C9"/>
    <w:rsid w:val="00B6280E"/>
    <w:rsid w:val="00B7651F"/>
    <w:rsid w:val="00B967C5"/>
    <w:rsid w:val="00B968F2"/>
    <w:rsid w:val="00BC6FD6"/>
    <w:rsid w:val="00BF7589"/>
    <w:rsid w:val="00C20A75"/>
    <w:rsid w:val="00C35C51"/>
    <w:rsid w:val="00C810ED"/>
    <w:rsid w:val="00C9771B"/>
    <w:rsid w:val="00CB6E96"/>
    <w:rsid w:val="00CC28D8"/>
    <w:rsid w:val="00CD4C2F"/>
    <w:rsid w:val="00D033C3"/>
    <w:rsid w:val="00D11732"/>
    <w:rsid w:val="00D21486"/>
    <w:rsid w:val="00D242EB"/>
    <w:rsid w:val="00D475D0"/>
    <w:rsid w:val="00D83E82"/>
    <w:rsid w:val="00DA4806"/>
    <w:rsid w:val="00DA53A4"/>
    <w:rsid w:val="00DB4142"/>
    <w:rsid w:val="00DB533F"/>
    <w:rsid w:val="00DC1C87"/>
    <w:rsid w:val="00DD11D3"/>
    <w:rsid w:val="00DD492C"/>
    <w:rsid w:val="00DE2E36"/>
    <w:rsid w:val="00DE49B3"/>
    <w:rsid w:val="00E2253B"/>
    <w:rsid w:val="00E22571"/>
    <w:rsid w:val="00E25E09"/>
    <w:rsid w:val="00E30EE1"/>
    <w:rsid w:val="00ED446D"/>
    <w:rsid w:val="00EE0CFC"/>
    <w:rsid w:val="00EE18AF"/>
    <w:rsid w:val="00EF1971"/>
    <w:rsid w:val="00EF2AA2"/>
    <w:rsid w:val="00F05D04"/>
    <w:rsid w:val="00F35A3E"/>
    <w:rsid w:val="00F647E4"/>
    <w:rsid w:val="00FA424B"/>
    <w:rsid w:val="00FA6D12"/>
    <w:rsid w:val="00FB4A7F"/>
    <w:rsid w:val="00FC0119"/>
    <w:rsid w:val="00FC4941"/>
    <w:rsid w:val="00FE07E6"/>
    <w:rsid w:val="00FF5FC7"/>
    <w:rsid w:val="00FF6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C25F"/>
  <w15:docId w15:val="{1F7E3823-B46D-4343-BE2A-92FC0555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B159A"/>
    <w:pPr>
      <w:spacing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AF5B8E"/>
    <w:rPr>
      <w:rFonts w:ascii="Lucida Grande" w:hAnsi="Lucida Grande"/>
      <w:sz w:val="18"/>
      <w:szCs w:val="18"/>
    </w:rPr>
  </w:style>
  <w:style w:type="table" w:styleId="TableGrid">
    <w:name w:val="Table Grid"/>
    <w:basedOn w:val="TableNormal"/>
    <w:uiPriority w:val="39"/>
    <w:rsid w:val="009302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basedOn w:val="Normal"/>
    <w:rsid w:val="009302B8"/>
    <w:pPr>
      <w:spacing w:before="120" w:after="180" w:line="240" w:lineRule="auto"/>
    </w:pPr>
    <w:rPr>
      <w:rFonts w:ascii="Trebuchet MS" w:hAnsi="Trebuchet MS"/>
      <w:color w:val="545454"/>
      <w:sz w:val="18"/>
      <w:szCs w:val="24"/>
    </w:rPr>
  </w:style>
  <w:style w:type="character" w:styleId="Hyperlink">
    <w:name w:val="Hyperlink"/>
    <w:basedOn w:val="DefaultParagraphFont"/>
    <w:uiPriority w:val="99"/>
    <w:unhideWhenUsed/>
    <w:rsid w:val="009302B8"/>
    <w:rPr>
      <w:color w:val="0563C1" w:themeColor="hyperlink"/>
      <w:u w:val="single"/>
    </w:rPr>
  </w:style>
  <w:style w:type="paragraph" w:styleId="ListParagraph">
    <w:name w:val="List Paragraph"/>
    <w:basedOn w:val="Normal"/>
    <w:qFormat/>
    <w:rsid w:val="009302B8"/>
    <w:pPr>
      <w:spacing w:after="360" w:line="240" w:lineRule="auto"/>
      <w:ind w:left="720"/>
      <w:contextualSpacing/>
    </w:pPr>
    <w:rPr>
      <w:rFonts w:ascii="Trebuchet MS" w:hAnsi="Trebuchet MS"/>
      <w:color w:val="545454"/>
      <w:sz w:val="18"/>
      <w:szCs w:val="24"/>
    </w:rPr>
  </w:style>
  <w:style w:type="paragraph" w:styleId="Header">
    <w:name w:val="header"/>
    <w:basedOn w:val="Normal"/>
    <w:link w:val="HeaderChar"/>
    <w:uiPriority w:val="99"/>
    <w:unhideWhenUsed/>
    <w:rsid w:val="009302B8"/>
    <w:pPr>
      <w:tabs>
        <w:tab w:val="center" w:pos="4680"/>
        <w:tab w:val="right" w:pos="9360"/>
      </w:tabs>
      <w:spacing w:line="240" w:lineRule="auto"/>
    </w:pPr>
  </w:style>
  <w:style w:type="character" w:customStyle="1" w:styleId="HeaderChar">
    <w:name w:val="Header Char"/>
    <w:basedOn w:val="DefaultParagraphFont"/>
    <w:link w:val="Header"/>
    <w:uiPriority w:val="99"/>
    <w:rsid w:val="009302B8"/>
  </w:style>
  <w:style w:type="paragraph" w:styleId="Footer">
    <w:name w:val="footer"/>
    <w:basedOn w:val="Normal"/>
    <w:link w:val="FooterChar"/>
    <w:uiPriority w:val="99"/>
    <w:unhideWhenUsed/>
    <w:rsid w:val="009302B8"/>
    <w:pPr>
      <w:tabs>
        <w:tab w:val="center" w:pos="4680"/>
        <w:tab w:val="right" w:pos="9360"/>
      </w:tabs>
      <w:spacing w:line="240" w:lineRule="auto"/>
    </w:pPr>
  </w:style>
  <w:style w:type="character" w:customStyle="1" w:styleId="FooterChar">
    <w:name w:val="Footer Char"/>
    <w:basedOn w:val="DefaultParagraphFont"/>
    <w:link w:val="Footer"/>
    <w:uiPriority w:val="99"/>
    <w:rsid w:val="009302B8"/>
  </w:style>
  <w:style w:type="character" w:customStyle="1" w:styleId="UnresolvedMention1">
    <w:name w:val="Unresolved Mention1"/>
    <w:basedOn w:val="DefaultParagraphFont"/>
    <w:uiPriority w:val="99"/>
    <w:semiHidden/>
    <w:unhideWhenUsed/>
    <w:rsid w:val="009302B8"/>
    <w:rPr>
      <w:color w:val="808080"/>
      <w:shd w:val="clear" w:color="auto" w:fill="E6E6E6"/>
    </w:rPr>
  </w:style>
  <w:style w:type="paragraph" w:styleId="CommentText">
    <w:name w:val="annotation text"/>
    <w:basedOn w:val="Normal"/>
    <w:link w:val="CommentTextChar"/>
    <w:uiPriority w:val="99"/>
    <w:semiHidden/>
    <w:unhideWhenUsed/>
    <w:rsid w:val="00E2253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2253B"/>
    <w:rPr>
      <w:rFonts w:asciiTheme="minorHAnsi" w:hAnsiTheme="minorHAnsi"/>
      <w:sz w:val="20"/>
      <w:szCs w:val="20"/>
    </w:rPr>
  </w:style>
  <w:style w:type="character" w:customStyle="1" w:styleId="BalloonTextChar1">
    <w:name w:val="Balloon Text Char1"/>
    <w:basedOn w:val="DefaultParagraphFont"/>
    <w:link w:val="BalloonText"/>
    <w:uiPriority w:val="99"/>
    <w:semiHidden/>
    <w:rsid w:val="008B159A"/>
    <w:rPr>
      <w:rFonts w:ascii="Segoe UI" w:hAnsi="Segoe UI" w:cs="Segoe UI"/>
      <w:sz w:val="18"/>
      <w:szCs w:val="18"/>
    </w:rPr>
  </w:style>
  <w:style w:type="character" w:styleId="UnresolvedMention">
    <w:name w:val="Unresolved Mention"/>
    <w:basedOn w:val="DefaultParagraphFont"/>
    <w:uiPriority w:val="99"/>
    <w:semiHidden/>
    <w:unhideWhenUsed/>
    <w:rsid w:val="006903F8"/>
    <w:rPr>
      <w:color w:val="605E5C"/>
      <w:shd w:val="clear" w:color="auto" w:fill="E1DFDD"/>
    </w:rPr>
  </w:style>
  <w:style w:type="paragraph" w:styleId="Revision">
    <w:name w:val="Revision"/>
    <w:hidden/>
    <w:uiPriority w:val="99"/>
    <w:semiHidden/>
    <w:rsid w:val="00E225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e-learn-sustain.gatech.edu/sites/default/files/documents/Toolkit-Docs/Resolution%20to%20Reduce%20Graduate%20Student%20Fees.pdf" TargetMode="External"/><Relationship Id="rId18" Type="http://schemas.openxmlformats.org/officeDocument/2006/relationships/hyperlink" Target="https://finaid.gatech.edu/costs/undergraduate-costs" TargetMode="External"/><Relationship Id="rId26" Type="http://schemas.openxmlformats.org/officeDocument/2006/relationships/hyperlink" Target="https://www.ajc.com/blog/get-schooled/opinion-roll-back-georgia-temporary-fees-college-students/fa6WDFD67vo1WxUkWVGxjO/" TargetMode="External"/><Relationship Id="rId3" Type="http://schemas.openxmlformats.org/officeDocument/2006/relationships/settings" Target="settings.xml"/><Relationship Id="rId21" Type="http://schemas.openxmlformats.org/officeDocument/2006/relationships/hyperlink" Target="https://busfin.uga.edu/bursar/tuition_special_inst_fee_fact_sheet_1920.pdf"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erve-learn-sustain.gatech.edu/sites/default/files/documents/Toolkit-Docs/Graduate%20SGA%20White%20Paper.pdf" TargetMode="External"/><Relationship Id="rId17" Type="http://schemas.openxmlformats.org/officeDocument/2006/relationships/hyperlink" Target="https://www.forbes.com/sites/lizfrazierpeck/2022/01/19/financial-wellness-is-critical-to-your-overall-healthand-financial-literacy-is-the-key/?sh=77da0e012cdc" TargetMode="External"/><Relationship Id="rId25" Type="http://schemas.openxmlformats.org/officeDocument/2006/relationships/hyperlink" Target="https://nique.net/opinions/2014/04/07/sif-fee-needs-to-be-reduced/"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erve-learn-sustain.gatech.edu/sites/default/files/documents/Toolkit-Docs/Ryan%20and%20Gamson%20-%20Is%20Framing%20Enough.pdf" TargetMode="External"/><Relationship Id="rId20" Type="http://schemas.openxmlformats.org/officeDocument/2006/relationships/hyperlink" Target="https://www.businessinsider.com/personal-finance/what-caused-the-great-recession" TargetMode="External"/><Relationship Id="rId29" Type="http://schemas.openxmlformats.org/officeDocument/2006/relationships/hyperlink" Target="https://www.redandblack.com/uganews/uga-graduate-students-advocate-for-repeal-of-special-institution-fee/article_7584d40a-8cc1-11eb-a1c9-37ece6adea7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edu/news/usgfacts" TargetMode="External"/><Relationship Id="rId24" Type="http://schemas.openxmlformats.org/officeDocument/2006/relationships/hyperlink" Target="http://www.budgets.gatech.edu/File?F=Hist%2FMSFAC%2F16MSFACMinutes-Meeting%203.pdf" TargetMode="External"/><Relationship Id="rId32" Type="http://schemas.openxmlformats.org/officeDocument/2006/relationships/hyperlink" Target="https://www.usg.edu/news/release/board_of_regents_approves_no_tuition_increase_at_25_of_26_institutions_for_the_2022_23_academic_year" TargetMode="External"/><Relationship Id="rId5" Type="http://schemas.openxmlformats.org/officeDocument/2006/relationships/footnotes" Target="footnotes.xml"/><Relationship Id="rId15" Type="http://schemas.openxmlformats.org/officeDocument/2006/relationships/hyperlink" Target="https://hechingerreport.org/already-stretched-grad-students-rebel-against-rising-and-often-surreptitious-fees/" TargetMode="External"/><Relationship Id="rId23" Type="http://schemas.openxmlformats.org/officeDocument/2006/relationships/hyperlink" Target="https://www.usg.edu/policymanual/section7/C453" TargetMode="External"/><Relationship Id="rId28" Type="http://schemas.openxmlformats.org/officeDocument/2006/relationships/hyperlink" Target="https://grad.gatech.edu/news/graduate-student-financial-well-being-considered-new-solutions-be-implemented" TargetMode="External"/><Relationship Id="rId10" Type="http://schemas.openxmlformats.org/officeDocument/2006/relationships/hyperlink" Target="https://www.usg.edu/regents/" TargetMode="External"/><Relationship Id="rId19" Type="http://schemas.openxmlformats.org/officeDocument/2006/relationships/hyperlink" Target="https://cssl.osu.edu/research-projects/study-on-collegiate-financial-wellness/" TargetMode="External"/><Relationship Id="rId31" Type="http://schemas.openxmlformats.org/officeDocument/2006/relationships/hyperlink" Target="https://gbpi.org/4-ways-georgia-lawmakers-can-make-college-more-affordable-in-2022/" TargetMode="External"/><Relationship Id="rId4" Type="http://schemas.openxmlformats.org/officeDocument/2006/relationships/webSettings" Target="webSettings.xml"/><Relationship Id="rId9" Type="http://schemas.openxmlformats.org/officeDocument/2006/relationships/hyperlink" Target="https://ctl.gatech.edu/best-practices/engaging-students/discussion" TargetMode="External"/><Relationship Id="rId14" Type="http://schemas.openxmlformats.org/officeDocument/2006/relationships/hyperlink" Target="https://www.washingtonpost.com/local/education/graduate-students-mounting-degrees-of-protest-over-hidden-fees/2019/08/02/a7f19f3c-b3c8-11e9-8949-5f36ff92706e_story.html" TargetMode="External"/><Relationship Id="rId22" Type="http://schemas.openxmlformats.org/officeDocument/2006/relationships/hyperlink" Target="https://www.budgets.gatech.edu/File?F=SIF_FAQs.pdf" TargetMode="External"/><Relationship Id="rId27" Type="http://schemas.openxmlformats.org/officeDocument/2006/relationships/hyperlink" Target="https://www.science.org/content/article/hefty-university-fees-are-sending-some-grad-students-food-banks" TargetMode="External"/><Relationship Id="rId30" Type="http://schemas.openxmlformats.org/officeDocument/2006/relationships/hyperlink" Target="https://www.gpb.org/news/2021/11/04/high-university-fees-concern-lawmakers" TargetMode="External"/><Relationship Id="rId35" Type="http://schemas.openxmlformats.org/officeDocument/2006/relationships/theme" Target="theme/theme1.xml"/><Relationship Id="rId8" Type="http://schemas.openxmlformats.org/officeDocument/2006/relationships/hyperlink" Target="https://serve-learn-sustain.gatech.edu/sites/default/files/documents/Toolkit-Docs/SIF%20Teaching%20Case%20Study_Aug2023.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Chatfield, Kristina</cp:lastModifiedBy>
  <cp:revision>18</cp:revision>
  <dcterms:created xsi:type="dcterms:W3CDTF">2023-08-16T17:06:00Z</dcterms:created>
  <dcterms:modified xsi:type="dcterms:W3CDTF">2023-08-24T18:25:00Z</dcterms:modified>
</cp:coreProperties>
</file>