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tbl>
      <w:tblPr>
        <w:tblStyle w:val="TableGrid"/>
        <w:tblW w:w="0" w:type="auto"/>
        <w:jc w:val="center"/>
        <w:tblLook w:val="04A0"/>
      </w:tblPr>
      <w:tblGrid>
        <w:gridCol w:w="2428"/>
        <w:gridCol w:w="2366"/>
        <w:gridCol w:w="2422"/>
        <w:gridCol w:w="2360"/>
      </w:tblGrid>
      <w:tr w:rsidR="00044A9C" w:rsidRPr="00791244">
        <w:trPr>
          <w:jc w:val="center"/>
        </w:trPr>
        <w:tc>
          <w:tcPr>
            <w:tcW w:w="2512" w:type="dxa"/>
            <w:tcBorders>
              <w:top w:val="single" w:sz="12" w:space="0" w:color="auto"/>
              <w:left w:val="single" w:sz="12" w:space="0" w:color="auto"/>
              <w:bottom w:val="single" w:sz="12" w:space="0" w:color="auto"/>
              <w:right w:val="single" w:sz="12" w:space="0" w:color="auto"/>
            </w:tcBorders>
          </w:tcPr>
          <w:p w:rsidR="00044A9C" w:rsidRPr="00791244" w:rsidRDefault="00044A9C" w:rsidP="00F84990">
            <w:pPr>
              <w:spacing w:before="240" w:after="120" w:line="276" w:lineRule="auto"/>
              <w:jc w:val="center"/>
              <w:rPr>
                <w:rFonts w:ascii="Arial" w:hAnsi="Arial" w:cs="Arial"/>
              </w:rPr>
            </w:pPr>
            <w:r w:rsidRPr="00791244">
              <w:rPr>
                <w:noProof/>
              </w:rPr>
              <w:drawing>
                <wp:inline distT="0" distB="0" distL="0" distR="0">
                  <wp:extent cx="1030014" cy="866775"/>
                  <wp:effectExtent l="0" t="0" r="0" b="0"/>
                  <wp:docPr id="11" name="Picture 11" descr="C:\Users\bjaco\AppData\Local\Microsoft\Windows\INetCache\Content.Word\SLS-Teaching-Toolkit-Logo_Stacked-Initi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jaco\AppData\Local\Microsoft\Windows\INetCache\Content.Word\SLS-Teaching-Toolkit-Logo_Stacked-Initials.jpg"/>
                          <pic:cNvPicPr>
                            <a:picLocks noChangeAspect="1" noChangeArrowheads="1"/>
                          </pic:cNvPicPr>
                        </pic:nvPicPr>
                        <pic:blipFill>
                          <a:blip r:embed="rId8"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40287" cy="875420"/>
                          </a:xfrm>
                          <a:prstGeom prst="rect">
                            <a:avLst/>
                          </a:prstGeom>
                          <a:noFill/>
                          <a:ln>
                            <a:noFill/>
                          </a:ln>
                        </pic:spPr>
                      </pic:pic>
                    </a:graphicData>
                  </a:graphic>
                </wp:inline>
              </w:drawing>
            </w:r>
          </w:p>
        </w:tc>
        <w:tc>
          <w:tcPr>
            <w:tcW w:w="7538" w:type="dxa"/>
            <w:gridSpan w:val="3"/>
            <w:tcBorders>
              <w:top w:val="single" w:sz="12" w:space="0" w:color="auto"/>
              <w:left w:val="single" w:sz="12" w:space="0" w:color="auto"/>
              <w:bottom w:val="single" w:sz="12" w:space="0" w:color="auto"/>
              <w:right w:val="single" w:sz="12" w:space="0" w:color="auto"/>
            </w:tcBorders>
            <w:vAlign w:val="center"/>
          </w:tcPr>
          <w:p w:rsidR="00FA0E58" w:rsidRPr="0005462F" w:rsidRDefault="00BB1FAE" w:rsidP="00FA0E58">
            <w:pPr>
              <w:spacing w:line="276" w:lineRule="auto"/>
              <w:jc w:val="center"/>
              <w:rPr>
                <w:rFonts w:ascii="Georgia" w:hAnsi="Georgia" w:cs="Arial"/>
              </w:rPr>
            </w:pPr>
            <w:r>
              <w:rPr>
                <w:rFonts w:ascii="Georgia" w:hAnsi="Georgia" w:cs="Arial"/>
                <w:sz w:val="40"/>
                <w:szCs w:val="36"/>
              </w:rPr>
              <w:t>Technology</w:t>
            </w:r>
            <w:r w:rsidR="00C7650A">
              <w:rPr>
                <w:rFonts w:ascii="Georgia" w:hAnsi="Georgia" w:cs="Arial"/>
                <w:sz w:val="40"/>
                <w:szCs w:val="36"/>
              </w:rPr>
              <w:t xml:space="preserve"> and Social Context</w:t>
            </w:r>
          </w:p>
          <w:p w:rsidR="00044A9C" w:rsidRPr="0005462F" w:rsidRDefault="00044A9C" w:rsidP="001C1E35">
            <w:pPr>
              <w:spacing w:line="276" w:lineRule="auto"/>
              <w:jc w:val="center"/>
              <w:rPr>
                <w:rFonts w:ascii="Georgia" w:hAnsi="Georgia" w:cs="Arial"/>
              </w:rPr>
            </w:pPr>
          </w:p>
        </w:tc>
      </w:tr>
      <w:tr w:rsidR="00044A9C" w:rsidRPr="005D44F0">
        <w:trPr>
          <w:trHeight w:val="1068"/>
          <w:jc w:val="center"/>
        </w:trPr>
        <w:tc>
          <w:tcPr>
            <w:tcW w:w="2512" w:type="dxa"/>
            <w:tcBorders>
              <w:top w:val="single" w:sz="12" w:space="0" w:color="auto"/>
              <w:left w:val="single" w:sz="12" w:space="0" w:color="auto"/>
              <w:right w:val="single" w:sz="12" w:space="0" w:color="auto"/>
            </w:tcBorders>
            <w:vAlign w:val="center"/>
          </w:tcPr>
          <w:p w:rsidR="00044A9C" w:rsidRPr="00516DBC" w:rsidRDefault="00044A9C" w:rsidP="00F84990">
            <w:pPr>
              <w:pStyle w:val="Box"/>
              <w:spacing w:after="120" w:line="276" w:lineRule="auto"/>
              <w:jc w:val="center"/>
              <w:rPr>
                <w:rFonts w:ascii="Arial" w:hAnsi="Arial" w:cs="Arial"/>
                <w:color w:val="auto"/>
                <w:sz w:val="22"/>
                <w:szCs w:val="22"/>
              </w:rPr>
            </w:pPr>
            <w:r w:rsidRPr="00516DBC">
              <w:rPr>
                <w:rFonts w:ascii="Georgia" w:hAnsi="Georgia" w:cs="Arial"/>
                <w:b/>
                <w:color w:val="auto"/>
                <w:sz w:val="22"/>
                <w:szCs w:val="22"/>
              </w:rPr>
              <w:t>Discipline:</w:t>
            </w:r>
            <w:r w:rsidRPr="00516DBC">
              <w:rPr>
                <w:rFonts w:ascii="Arial" w:hAnsi="Arial" w:cs="Arial"/>
                <w:b/>
                <w:color w:val="auto"/>
                <w:sz w:val="22"/>
                <w:szCs w:val="22"/>
              </w:rPr>
              <w:t xml:space="preserve"> </w:t>
            </w:r>
            <w:r>
              <w:rPr>
                <w:rFonts w:ascii="Arial" w:hAnsi="Arial" w:cs="Arial"/>
                <w:color w:val="auto"/>
                <w:sz w:val="22"/>
                <w:szCs w:val="22"/>
              </w:rPr>
              <w:t>All</w:t>
            </w:r>
          </w:p>
        </w:tc>
        <w:tc>
          <w:tcPr>
            <w:tcW w:w="2513" w:type="dxa"/>
            <w:tcBorders>
              <w:top w:val="single" w:sz="12" w:space="0" w:color="auto"/>
              <w:left w:val="single" w:sz="12" w:space="0" w:color="auto"/>
              <w:bottom w:val="single" w:sz="12" w:space="0" w:color="auto"/>
              <w:right w:val="single" w:sz="12" w:space="0" w:color="auto"/>
            </w:tcBorders>
            <w:vAlign w:val="center"/>
          </w:tcPr>
          <w:p w:rsidR="00044A9C" w:rsidRPr="00516DBC" w:rsidRDefault="00044A9C" w:rsidP="00F84990">
            <w:pPr>
              <w:pStyle w:val="Box"/>
              <w:spacing w:after="120" w:line="276" w:lineRule="auto"/>
              <w:jc w:val="center"/>
              <w:rPr>
                <w:rFonts w:ascii="Arial" w:hAnsi="Arial" w:cs="Arial"/>
                <w:color w:val="auto"/>
                <w:sz w:val="22"/>
                <w:szCs w:val="22"/>
              </w:rPr>
            </w:pPr>
            <w:r w:rsidRPr="00516DBC">
              <w:rPr>
                <w:rFonts w:ascii="Georgia" w:hAnsi="Georgia" w:cs="Arial"/>
                <w:b/>
                <w:color w:val="auto"/>
                <w:sz w:val="22"/>
                <w:szCs w:val="22"/>
              </w:rPr>
              <w:t xml:space="preserve">Type: </w:t>
            </w:r>
            <w:r w:rsidR="006538EC" w:rsidRPr="00766868">
              <w:rPr>
                <w:rFonts w:ascii="Arial" w:hAnsi="Arial" w:cs="Arial"/>
                <w:color w:val="auto"/>
                <w:sz w:val="22"/>
                <w:szCs w:val="22"/>
              </w:rPr>
              <w:t>Discussion and/or writing assignment</w:t>
            </w:r>
          </w:p>
        </w:tc>
        <w:tc>
          <w:tcPr>
            <w:tcW w:w="2512" w:type="dxa"/>
            <w:tcBorders>
              <w:top w:val="single" w:sz="12" w:space="0" w:color="auto"/>
              <w:left w:val="single" w:sz="12" w:space="0" w:color="auto"/>
              <w:bottom w:val="single" w:sz="12" w:space="0" w:color="auto"/>
              <w:right w:val="single" w:sz="12" w:space="0" w:color="auto"/>
            </w:tcBorders>
            <w:vAlign w:val="center"/>
          </w:tcPr>
          <w:p w:rsidR="00044A9C" w:rsidRPr="00516DBC" w:rsidRDefault="00044A9C" w:rsidP="00F84990">
            <w:pPr>
              <w:pStyle w:val="Box"/>
              <w:spacing w:after="120" w:line="276" w:lineRule="auto"/>
              <w:jc w:val="center"/>
              <w:rPr>
                <w:rFonts w:ascii="Arial" w:hAnsi="Arial" w:cs="Arial"/>
                <w:b/>
                <w:color w:val="auto"/>
                <w:sz w:val="22"/>
                <w:szCs w:val="22"/>
              </w:rPr>
            </w:pPr>
            <w:r w:rsidRPr="00516DBC">
              <w:rPr>
                <w:rFonts w:ascii="Georgia" w:hAnsi="Georgia" w:cs="Arial"/>
                <w:b/>
                <w:color w:val="auto"/>
                <w:sz w:val="22"/>
                <w:szCs w:val="22"/>
              </w:rPr>
              <w:t>Time Commitment:</w:t>
            </w:r>
            <w:r>
              <w:rPr>
                <w:rFonts w:ascii="Georgia" w:hAnsi="Georgia" w:cs="Arial"/>
                <w:b/>
                <w:color w:val="auto"/>
                <w:sz w:val="22"/>
                <w:szCs w:val="22"/>
              </w:rPr>
              <w:t xml:space="preserve"> </w:t>
            </w:r>
            <w:r w:rsidR="006538EC" w:rsidRPr="00766868">
              <w:rPr>
                <w:rFonts w:ascii="Arial" w:hAnsi="Arial" w:cs="Arial"/>
                <w:color w:val="auto"/>
                <w:sz w:val="22"/>
                <w:szCs w:val="22"/>
              </w:rPr>
              <w:t>45-60 minutes</w:t>
            </w:r>
          </w:p>
        </w:tc>
        <w:tc>
          <w:tcPr>
            <w:tcW w:w="2513" w:type="dxa"/>
            <w:tcBorders>
              <w:top w:val="single" w:sz="12" w:space="0" w:color="auto"/>
              <w:left w:val="single" w:sz="12" w:space="0" w:color="auto"/>
              <w:bottom w:val="single" w:sz="12" w:space="0" w:color="auto"/>
              <w:right w:val="single" w:sz="12" w:space="0" w:color="auto"/>
            </w:tcBorders>
            <w:vAlign w:val="center"/>
          </w:tcPr>
          <w:p w:rsidR="00044A9C" w:rsidRPr="00516DBC" w:rsidRDefault="00044A9C" w:rsidP="00F84990">
            <w:pPr>
              <w:spacing w:after="120" w:line="276" w:lineRule="auto"/>
              <w:jc w:val="center"/>
              <w:rPr>
                <w:rFonts w:ascii="Arial" w:hAnsi="Arial" w:cs="Arial"/>
                <w:sz w:val="22"/>
                <w:szCs w:val="22"/>
              </w:rPr>
            </w:pPr>
            <w:r w:rsidRPr="00516DBC">
              <w:rPr>
                <w:rFonts w:ascii="Georgia" w:hAnsi="Georgia" w:cs="Arial"/>
                <w:b/>
                <w:sz w:val="22"/>
                <w:szCs w:val="22"/>
              </w:rPr>
              <w:t>Category</w:t>
            </w:r>
            <w:r w:rsidRPr="00516DBC">
              <w:rPr>
                <w:rFonts w:ascii="Georgia" w:hAnsi="Georgia" w:cs="Arial"/>
                <w:sz w:val="22"/>
                <w:szCs w:val="22"/>
              </w:rPr>
              <w:t>:</w:t>
            </w:r>
            <w:r w:rsidRPr="00516DBC">
              <w:rPr>
                <w:rFonts w:ascii="Arial" w:hAnsi="Arial" w:cs="Arial"/>
                <w:sz w:val="22"/>
                <w:szCs w:val="22"/>
              </w:rPr>
              <w:t xml:space="preserve"> </w:t>
            </w:r>
            <w:r w:rsidR="001F01A1">
              <w:rPr>
                <w:rFonts w:ascii="Arial" w:hAnsi="Arial" w:cs="Arial"/>
                <w:sz w:val="22"/>
                <w:szCs w:val="22"/>
              </w:rPr>
              <w:t>Case Studies</w:t>
            </w:r>
          </w:p>
        </w:tc>
      </w:tr>
      <w:tr w:rsidR="00044A9C" w:rsidRPr="005D44F0">
        <w:trPr>
          <w:trHeight w:val="600"/>
          <w:jc w:val="center"/>
        </w:trPr>
        <w:tc>
          <w:tcPr>
            <w:tcW w:w="10050" w:type="dxa"/>
            <w:gridSpan w:val="4"/>
            <w:tcBorders>
              <w:top w:val="single" w:sz="12" w:space="0" w:color="auto"/>
              <w:left w:val="single" w:sz="12" w:space="0" w:color="auto"/>
              <w:right w:val="single" w:sz="12" w:space="0" w:color="auto"/>
            </w:tcBorders>
            <w:vAlign w:val="center"/>
          </w:tcPr>
          <w:p w:rsidR="00044A9C" w:rsidRPr="009F21FA" w:rsidRDefault="00044A9C" w:rsidP="00F84990">
            <w:pPr>
              <w:spacing w:before="120" w:after="120" w:line="276" w:lineRule="auto"/>
              <w:rPr>
                <w:rFonts w:ascii="Georgia" w:hAnsi="Georgia"/>
                <w:sz w:val="20"/>
                <w:szCs w:val="20"/>
              </w:rPr>
            </w:pPr>
            <w:r w:rsidRPr="00115F84">
              <w:rPr>
                <w:rFonts w:ascii="Georgia" w:hAnsi="Georgia"/>
                <w:b/>
                <w:sz w:val="20"/>
                <w:szCs w:val="20"/>
              </w:rPr>
              <w:t>Big Ideas:</w:t>
            </w:r>
            <w:r>
              <w:rPr>
                <w:rFonts w:ascii="Georgia" w:hAnsi="Georgia"/>
                <w:b/>
                <w:sz w:val="20"/>
                <w:szCs w:val="20"/>
              </w:rPr>
              <w:t xml:space="preserve"> </w:t>
            </w:r>
            <w:hyperlink r:id="rId9" w:history="1">
              <w:r w:rsidR="009F21FA" w:rsidRPr="008D3E6F">
                <w:rPr>
                  <w:rStyle w:val="Hyperlink"/>
                  <w:rFonts w:ascii="Arial" w:hAnsi="Arial" w:cs="Arial"/>
                  <w:sz w:val="22"/>
                  <w:szCs w:val="22"/>
                </w:rPr>
                <w:t>Social, Cultural &amp; Environmental Context</w:t>
              </w:r>
            </w:hyperlink>
            <w:r w:rsidR="009F21FA" w:rsidRPr="001F01A1">
              <w:rPr>
                <w:rFonts w:ascii="Arial" w:hAnsi="Arial" w:cs="Arial"/>
                <w:sz w:val="22"/>
                <w:szCs w:val="22"/>
              </w:rPr>
              <w:t xml:space="preserve">; </w:t>
            </w:r>
            <w:hyperlink r:id="rId10" w:history="1">
              <w:r w:rsidR="009F21FA" w:rsidRPr="008D3E6F">
                <w:rPr>
                  <w:rStyle w:val="Hyperlink"/>
                  <w:rFonts w:ascii="Arial" w:hAnsi="Arial" w:cs="Arial"/>
                  <w:sz w:val="22"/>
                  <w:szCs w:val="22"/>
                </w:rPr>
                <w:t>Sustainable Urban Development</w:t>
              </w:r>
            </w:hyperlink>
          </w:p>
        </w:tc>
      </w:tr>
      <w:tr w:rsidR="00044A9C" w:rsidRPr="005D44F0">
        <w:trPr>
          <w:trHeight w:val="422"/>
          <w:jc w:val="center"/>
        </w:trPr>
        <w:tc>
          <w:tcPr>
            <w:tcW w:w="10050" w:type="dxa"/>
            <w:gridSpan w:val="4"/>
            <w:tcBorders>
              <w:top w:val="single" w:sz="12" w:space="0" w:color="auto"/>
              <w:left w:val="single" w:sz="12" w:space="0" w:color="auto"/>
              <w:bottom w:val="single" w:sz="12" w:space="0" w:color="auto"/>
              <w:right w:val="single" w:sz="12" w:space="0" w:color="auto"/>
            </w:tcBorders>
          </w:tcPr>
          <w:p w:rsidR="001F01A1" w:rsidRPr="00AB0BD5" w:rsidRDefault="00044A9C" w:rsidP="00F84990">
            <w:pPr>
              <w:pStyle w:val="Box"/>
              <w:spacing w:after="120" w:line="276" w:lineRule="auto"/>
              <w:rPr>
                <w:rFonts w:ascii="Arial" w:hAnsi="Arial" w:cs="Arial"/>
                <w:color w:val="auto"/>
                <w:sz w:val="24"/>
              </w:rPr>
            </w:pPr>
            <w:r w:rsidRPr="005D44F0">
              <w:rPr>
                <w:rFonts w:ascii="Georgia" w:hAnsi="Georgia" w:cs="Arial"/>
                <w:b/>
                <w:color w:val="auto"/>
                <w:sz w:val="20"/>
                <w:szCs w:val="20"/>
              </w:rPr>
              <w:t>OVERVIEW:</w:t>
            </w:r>
            <w:r w:rsidR="00713E29">
              <w:rPr>
                <w:rFonts w:ascii="Georgia" w:hAnsi="Georgia" w:cs="Arial"/>
                <w:b/>
                <w:color w:val="auto"/>
                <w:sz w:val="20"/>
                <w:szCs w:val="20"/>
              </w:rPr>
              <w:t xml:space="preserve">  </w:t>
            </w:r>
            <w:r w:rsidR="00713E29" w:rsidRPr="00713E29">
              <w:rPr>
                <w:rFonts w:ascii="Arial" w:hAnsi="Arial" w:cs="Arial"/>
                <w:color w:val="auto"/>
                <w:sz w:val="22"/>
                <w:szCs w:val="22"/>
              </w:rPr>
              <w:t>This tool help</w:t>
            </w:r>
            <w:r w:rsidR="00766868">
              <w:rPr>
                <w:rFonts w:ascii="Arial" w:hAnsi="Arial" w:cs="Arial"/>
                <w:color w:val="auto"/>
                <w:sz w:val="22"/>
                <w:szCs w:val="22"/>
              </w:rPr>
              <w:t>s</w:t>
            </w:r>
            <w:r w:rsidR="00713E29" w:rsidRPr="00713E29">
              <w:rPr>
                <w:rFonts w:ascii="Arial" w:hAnsi="Arial" w:cs="Arial"/>
                <w:color w:val="auto"/>
                <w:sz w:val="22"/>
                <w:szCs w:val="22"/>
              </w:rPr>
              <w:t xml:space="preserve"> students understand how </w:t>
            </w:r>
            <w:r w:rsidR="00FA0E58">
              <w:rPr>
                <w:rFonts w:ascii="Arial" w:hAnsi="Arial" w:cs="Arial"/>
                <w:color w:val="auto"/>
                <w:sz w:val="22"/>
                <w:szCs w:val="22"/>
              </w:rPr>
              <w:t>technology</w:t>
            </w:r>
            <w:r w:rsidR="00713E29" w:rsidRPr="00713E29">
              <w:rPr>
                <w:rFonts w:ascii="Arial" w:hAnsi="Arial" w:cs="Arial"/>
                <w:color w:val="auto"/>
                <w:sz w:val="22"/>
                <w:szCs w:val="22"/>
              </w:rPr>
              <w:t xml:space="preserve"> </w:t>
            </w:r>
            <w:r w:rsidR="00FA0E58">
              <w:rPr>
                <w:rFonts w:ascii="Arial" w:hAnsi="Arial" w:cs="Arial"/>
                <w:color w:val="auto"/>
                <w:sz w:val="22"/>
                <w:szCs w:val="22"/>
              </w:rPr>
              <w:t xml:space="preserve">always carries an ethical dimension and that social context </w:t>
            </w:r>
            <w:r w:rsidR="000B70D5">
              <w:rPr>
                <w:rFonts w:ascii="Arial" w:hAnsi="Arial" w:cs="Arial"/>
                <w:color w:val="auto"/>
                <w:sz w:val="22"/>
                <w:szCs w:val="22"/>
              </w:rPr>
              <w:t xml:space="preserve">and power relations </w:t>
            </w:r>
            <w:r w:rsidR="00BF4477">
              <w:rPr>
                <w:rFonts w:ascii="Arial" w:hAnsi="Arial" w:cs="Arial"/>
                <w:color w:val="auto"/>
                <w:sz w:val="22"/>
                <w:szCs w:val="22"/>
              </w:rPr>
              <w:t xml:space="preserve">of a particular community </w:t>
            </w:r>
            <w:r w:rsidR="00FA0E58">
              <w:rPr>
                <w:rFonts w:ascii="Arial" w:hAnsi="Arial" w:cs="Arial"/>
                <w:color w:val="auto"/>
                <w:sz w:val="22"/>
                <w:szCs w:val="22"/>
              </w:rPr>
              <w:t>must be taken into consideration for all projects.</w:t>
            </w:r>
            <w:r w:rsidR="00BF4477">
              <w:rPr>
                <w:rFonts w:ascii="Arial" w:hAnsi="Arial" w:cs="Arial"/>
                <w:color w:val="auto"/>
                <w:sz w:val="22"/>
                <w:szCs w:val="22"/>
              </w:rPr>
              <w:t xml:space="preserve"> Social context, including history, culture, and politics,</w:t>
            </w:r>
            <w:r w:rsidR="005949A0">
              <w:rPr>
                <w:rFonts w:ascii="Arial" w:hAnsi="Arial" w:cs="Arial"/>
                <w:color w:val="auto"/>
                <w:sz w:val="22"/>
                <w:szCs w:val="22"/>
              </w:rPr>
              <w:t xml:space="preserve"> helps to determine ethical allowances and constraints, as well as</w:t>
            </w:r>
            <w:r w:rsidR="00BF4477">
              <w:rPr>
                <w:rFonts w:ascii="Arial" w:hAnsi="Arial" w:cs="Arial"/>
                <w:color w:val="auto"/>
                <w:sz w:val="22"/>
                <w:szCs w:val="22"/>
              </w:rPr>
              <w:t xml:space="preserve"> what is appropriate for any given technology and environment:</w:t>
            </w:r>
            <w:r w:rsidR="005949A0">
              <w:rPr>
                <w:rFonts w:ascii="Arial" w:hAnsi="Arial" w:cs="Arial"/>
                <w:color w:val="auto"/>
                <w:sz w:val="22"/>
                <w:szCs w:val="22"/>
              </w:rPr>
              <w:t xml:space="preserve"> this is</w:t>
            </w:r>
            <w:r w:rsidR="00BF4477">
              <w:rPr>
                <w:rFonts w:ascii="Arial" w:hAnsi="Arial" w:cs="Arial"/>
                <w:color w:val="auto"/>
                <w:sz w:val="22"/>
                <w:szCs w:val="22"/>
              </w:rPr>
              <w:t xml:space="preserve"> what Science and Technology Studies refers to as “interpretative flexibility.” In this tool, s</w:t>
            </w:r>
            <w:r w:rsidR="00F01631">
              <w:rPr>
                <w:rFonts w:ascii="Arial" w:hAnsi="Arial" w:cs="Arial"/>
                <w:color w:val="auto"/>
                <w:sz w:val="22"/>
                <w:szCs w:val="22"/>
              </w:rPr>
              <w:t>tudents will learn the basics of interpretative flexibility by</w:t>
            </w:r>
            <w:r w:rsidR="00766868">
              <w:rPr>
                <w:rFonts w:ascii="Arial" w:hAnsi="Arial" w:cs="Arial"/>
                <w:color w:val="auto"/>
                <w:sz w:val="22"/>
                <w:szCs w:val="22"/>
              </w:rPr>
              <w:t xml:space="preserve"> </w:t>
            </w:r>
            <w:r w:rsidR="00F01631">
              <w:rPr>
                <w:rFonts w:ascii="Arial" w:hAnsi="Arial" w:cs="Arial"/>
                <w:color w:val="auto"/>
                <w:sz w:val="22"/>
                <w:szCs w:val="22"/>
              </w:rPr>
              <w:t>critically evaluating</w:t>
            </w:r>
            <w:r w:rsidR="00766868">
              <w:rPr>
                <w:rFonts w:ascii="Arial" w:hAnsi="Arial" w:cs="Arial"/>
                <w:color w:val="auto"/>
                <w:sz w:val="22"/>
                <w:szCs w:val="22"/>
              </w:rPr>
              <w:t xml:space="preserve"> </w:t>
            </w:r>
            <w:r w:rsidR="00855284">
              <w:rPr>
                <w:rFonts w:ascii="Arial" w:hAnsi="Arial" w:cs="Arial"/>
                <w:color w:val="auto"/>
                <w:sz w:val="22"/>
                <w:szCs w:val="22"/>
              </w:rPr>
              <w:t xml:space="preserve">situations </w:t>
            </w:r>
            <w:r w:rsidR="00766868">
              <w:rPr>
                <w:rFonts w:ascii="Arial" w:hAnsi="Arial" w:cs="Arial"/>
                <w:color w:val="auto"/>
                <w:sz w:val="22"/>
                <w:szCs w:val="22"/>
              </w:rPr>
              <w:t xml:space="preserve">with attention to </w:t>
            </w:r>
            <w:r w:rsidR="00855284">
              <w:rPr>
                <w:rFonts w:ascii="Arial" w:hAnsi="Arial" w:cs="Arial"/>
                <w:color w:val="auto"/>
                <w:sz w:val="22"/>
                <w:szCs w:val="22"/>
              </w:rPr>
              <w:t>the context of</w:t>
            </w:r>
            <w:r w:rsidR="004E3825">
              <w:rPr>
                <w:rFonts w:ascii="Arial" w:hAnsi="Arial" w:cs="Arial"/>
                <w:color w:val="auto"/>
                <w:sz w:val="22"/>
                <w:szCs w:val="22"/>
              </w:rPr>
              <w:t xml:space="preserve"> </w:t>
            </w:r>
            <w:r w:rsidR="00855284">
              <w:rPr>
                <w:rFonts w:ascii="Arial" w:hAnsi="Arial" w:cs="Arial"/>
                <w:color w:val="auto"/>
                <w:sz w:val="22"/>
                <w:szCs w:val="22"/>
              </w:rPr>
              <w:t>the communities in which engineers are</w:t>
            </w:r>
            <w:r w:rsidR="004E3825">
              <w:rPr>
                <w:rFonts w:ascii="Arial" w:hAnsi="Arial" w:cs="Arial"/>
                <w:color w:val="auto"/>
                <w:sz w:val="22"/>
                <w:szCs w:val="22"/>
              </w:rPr>
              <w:t xml:space="preserve"> working</w:t>
            </w:r>
            <w:r w:rsidR="00713E29" w:rsidRPr="00713E29">
              <w:rPr>
                <w:rFonts w:ascii="Arial" w:hAnsi="Arial" w:cs="Arial"/>
                <w:color w:val="auto"/>
                <w:sz w:val="22"/>
                <w:szCs w:val="22"/>
              </w:rPr>
              <w:t xml:space="preserve">. The tool explores three different </w:t>
            </w:r>
            <w:r w:rsidR="00855284">
              <w:rPr>
                <w:rFonts w:ascii="Arial" w:hAnsi="Arial" w:cs="Arial"/>
                <w:color w:val="auto"/>
                <w:sz w:val="22"/>
                <w:szCs w:val="22"/>
              </w:rPr>
              <w:t>frameworks</w:t>
            </w:r>
            <w:r w:rsidR="004E3825">
              <w:rPr>
                <w:rFonts w:ascii="Arial" w:hAnsi="Arial" w:cs="Arial"/>
                <w:color w:val="auto"/>
                <w:sz w:val="22"/>
                <w:szCs w:val="22"/>
              </w:rPr>
              <w:t xml:space="preserve"> as models for what to do, and what not to do. These include: 1)</w:t>
            </w:r>
            <w:r w:rsidR="00713E29" w:rsidRPr="00713E29">
              <w:rPr>
                <w:rFonts w:ascii="Arial" w:hAnsi="Arial" w:cs="Arial"/>
                <w:color w:val="auto"/>
                <w:sz w:val="22"/>
                <w:szCs w:val="22"/>
              </w:rPr>
              <w:t xml:space="preserve"> </w:t>
            </w:r>
            <w:r w:rsidR="00855284">
              <w:rPr>
                <w:rFonts w:ascii="Arial" w:hAnsi="Arial" w:cs="Arial"/>
                <w:color w:val="auto"/>
                <w:sz w:val="22"/>
                <w:szCs w:val="22"/>
              </w:rPr>
              <w:t xml:space="preserve">unethical </w:t>
            </w:r>
            <w:r w:rsidR="004E3825">
              <w:rPr>
                <w:rFonts w:ascii="Arial" w:hAnsi="Arial" w:cs="Arial"/>
                <w:color w:val="auto"/>
                <w:sz w:val="22"/>
                <w:szCs w:val="22"/>
              </w:rPr>
              <w:t xml:space="preserve">situations where </w:t>
            </w:r>
            <w:r w:rsidR="00337363">
              <w:rPr>
                <w:rFonts w:ascii="Arial" w:hAnsi="Arial" w:cs="Arial"/>
                <w:color w:val="auto"/>
                <w:sz w:val="22"/>
                <w:szCs w:val="22"/>
              </w:rPr>
              <w:t>technology</w:t>
            </w:r>
            <w:r w:rsidR="004E3825">
              <w:rPr>
                <w:rFonts w:ascii="Arial" w:hAnsi="Arial" w:cs="Arial"/>
                <w:color w:val="auto"/>
                <w:sz w:val="22"/>
                <w:szCs w:val="22"/>
              </w:rPr>
              <w:t xml:space="preserve"> </w:t>
            </w:r>
            <w:r w:rsidR="00855284">
              <w:rPr>
                <w:rFonts w:ascii="Arial" w:hAnsi="Arial" w:cs="Arial"/>
                <w:color w:val="auto"/>
                <w:sz w:val="22"/>
                <w:szCs w:val="22"/>
              </w:rPr>
              <w:t xml:space="preserve">is used </w:t>
            </w:r>
            <w:r w:rsidR="00713E29" w:rsidRPr="00713E29">
              <w:rPr>
                <w:rFonts w:ascii="Arial" w:hAnsi="Arial" w:cs="Arial"/>
                <w:color w:val="auto"/>
                <w:sz w:val="22"/>
                <w:szCs w:val="22"/>
              </w:rPr>
              <w:t>to exploit the populatio</w:t>
            </w:r>
            <w:r w:rsidR="004E3825">
              <w:rPr>
                <w:rFonts w:ascii="Arial" w:hAnsi="Arial" w:cs="Arial"/>
                <w:color w:val="auto"/>
                <w:sz w:val="22"/>
                <w:szCs w:val="22"/>
              </w:rPr>
              <w:t xml:space="preserve">n; 2) </w:t>
            </w:r>
            <w:r w:rsidR="00855284">
              <w:rPr>
                <w:rFonts w:ascii="Arial" w:hAnsi="Arial" w:cs="Arial"/>
                <w:color w:val="auto"/>
                <w:sz w:val="22"/>
                <w:szCs w:val="22"/>
              </w:rPr>
              <w:t xml:space="preserve">situations made unethical due to a lack of attention to the particulars of a community </w:t>
            </w:r>
            <w:r w:rsidR="00713E29" w:rsidRPr="00713E29">
              <w:rPr>
                <w:rFonts w:ascii="Arial" w:hAnsi="Arial" w:cs="Arial"/>
                <w:color w:val="auto"/>
                <w:sz w:val="22"/>
                <w:szCs w:val="22"/>
              </w:rPr>
              <w:t xml:space="preserve">and </w:t>
            </w:r>
            <w:r w:rsidR="004E3825">
              <w:rPr>
                <w:rFonts w:ascii="Arial" w:hAnsi="Arial" w:cs="Arial"/>
                <w:color w:val="auto"/>
                <w:sz w:val="22"/>
                <w:szCs w:val="22"/>
              </w:rPr>
              <w:t xml:space="preserve">3) </w:t>
            </w:r>
            <w:r w:rsidR="00855284">
              <w:rPr>
                <w:rFonts w:ascii="Arial" w:hAnsi="Arial" w:cs="Arial"/>
                <w:color w:val="auto"/>
                <w:sz w:val="22"/>
                <w:szCs w:val="22"/>
              </w:rPr>
              <w:t xml:space="preserve">ethical </w:t>
            </w:r>
            <w:r w:rsidR="004E3825">
              <w:rPr>
                <w:rFonts w:ascii="Arial" w:hAnsi="Arial" w:cs="Arial"/>
                <w:color w:val="auto"/>
                <w:sz w:val="22"/>
                <w:szCs w:val="22"/>
              </w:rPr>
              <w:t xml:space="preserve">situations where </w:t>
            </w:r>
            <w:r w:rsidR="00855284">
              <w:rPr>
                <w:rFonts w:ascii="Arial" w:hAnsi="Arial" w:cs="Arial"/>
                <w:color w:val="auto"/>
                <w:sz w:val="22"/>
                <w:szCs w:val="22"/>
              </w:rPr>
              <w:t>technology</w:t>
            </w:r>
            <w:r w:rsidR="00713E29" w:rsidRPr="00713E29">
              <w:rPr>
                <w:rFonts w:ascii="Arial" w:hAnsi="Arial" w:cs="Arial"/>
                <w:color w:val="auto"/>
                <w:sz w:val="22"/>
                <w:szCs w:val="22"/>
              </w:rPr>
              <w:t xml:space="preserve"> </w:t>
            </w:r>
            <w:r w:rsidR="00855284">
              <w:rPr>
                <w:rFonts w:ascii="Arial" w:hAnsi="Arial" w:cs="Arial"/>
                <w:color w:val="auto"/>
                <w:sz w:val="22"/>
                <w:szCs w:val="22"/>
              </w:rPr>
              <w:t>successfully takes the local context of a community into account.</w:t>
            </w:r>
          </w:p>
          <w:p w:rsidR="00044A9C" w:rsidRPr="00F05D04" w:rsidRDefault="00044A9C" w:rsidP="00F84990">
            <w:pPr>
              <w:pStyle w:val="Box"/>
              <w:spacing w:after="120" w:line="276" w:lineRule="auto"/>
              <w:rPr>
                <w:rFonts w:ascii="Arial" w:hAnsi="Arial" w:cs="Arial"/>
                <w:b/>
                <w:color w:val="auto"/>
                <w:sz w:val="20"/>
                <w:szCs w:val="20"/>
                <w:u w:val="single"/>
              </w:rPr>
            </w:pPr>
            <w:r w:rsidRPr="00516DBC">
              <w:rPr>
                <w:rFonts w:ascii="Arial" w:hAnsi="Arial" w:cs="Arial"/>
                <w:color w:val="auto"/>
                <w:sz w:val="22"/>
                <w:szCs w:val="22"/>
              </w:rPr>
              <w:t xml:space="preserve">This tool was contributed by </w:t>
            </w:r>
            <w:r w:rsidR="001F01A1">
              <w:rPr>
                <w:rFonts w:ascii="Arial" w:hAnsi="Arial" w:cs="Arial"/>
                <w:color w:val="auto"/>
                <w:sz w:val="22"/>
                <w:szCs w:val="22"/>
              </w:rPr>
              <w:t>Katie Martin</w:t>
            </w:r>
            <w:r w:rsidR="000D70FE">
              <w:rPr>
                <w:rFonts w:ascii="Arial" w:hAnsi="Arial" w:cs="Arial"/>
                <w:color w:val="auto"/>
                <w:sz w:val="22"/>
                <w:szCs w:val="22"/>
              </w:rPr>
              <w:t>, Bethany Jacobs,</w:t>
            </w:r>
            <w:r w:rsidR="00273B96">
              <w:rPr>
                <w:rFonts w:ascii="Arial" w:hAnsi="Arial" w:cs="Arial"/>
                <w:color w:val="auto"/>
                <w:sz w:val="22"/>
                <w:szCs w:val="22"/>
              </w:rPr>
              <w:t xml:space="preserve"> </w:t>
            </w:r>
            <w:r w:rsidR="00E6386A">
              <w:rPr>
                <w:rFonts w:ascii="Arial" w:hAnsi="Arial" w:cs="Arial"/>
                <w:color w:val="auto"/>
                <w:sz w:val="22"/>
                <w:szCs w:val="22"/>
              </w:rPr>
              <w:t xml:space="preserve">Kevin Lanza, </w:t>
            </w:r>
            <w:r w:rsidR="00273B96">
              <w:rPr>
                <w:rFonts w:ascii="Arial" w:hAnsi="Arial" w:cs="Arial"/>
                <w:color w:val="auto"/>
                <w:sz w:val="22"/>
                <w:szCs w:val="22"/>
              </w:rPr>
              <w:t>Molly Slavin,</w:t>
            </w:r>
            <w:r w:rsidR="000D70FE">
              <w:rPr>
                <w:rFonts w:ascii="Arial" w:hAnsi="Arial" w:cs="Arial"/>
                <w:color w:val="auto"/>
                <w:sz w:val="22"/>
                <w:szCs w:val="22"/>
              </w:rPr>
              <w:t xml:space="preserve"> and </w:t>
            </w:r>
            <w:bookmarkStart w:id="0" w:name="_GoBack"/>
            <w:bookmarkEnd w:id="0"/>
            <w:r w:rsidRPr="00516DBC">
              <w:rPr>
                <w:rFonts w:ascii="Arial" w:hAnsi="Arial" w:cs="Arial"/>
                <w:color w:val="auto"/>
                <w:sz w:val="22"/>
                <w:szCs w:val="22"/>
              </w:rPr>
              <w:t>Jennifer Hirsch.</w:t>
            </w:r>
          </w:p>
        </w:tc>
      </w:tr>
      <w:tr w:rsidR="00044A9C" w:rsidRPr="005D44F0">
        <w:trPr>
          <w:jc w:val="center"/>
        </w:trPr>
        <w:tc>
          <w:tcPr>
            <w:tcW w:w="10050" w:type="dxa"/>
            <w:gridSpan w:val="4"/>
            <w:tcBorders>
              <w:top w:val="single" w:sz="12" w:space="0" w:color="auto"/>
              <w:left w:val="single" w:sz="12" w:space="0" w:color="auto"/>
              <w:bottom w:val="single" w:sz="12" w:space="0" w:color="auto"/>
              <w:right w:val="single" w:sz="12" w:space="0" w:color="auto"/>
            </w:tcBorders>
          </w:tcPr>
          <w:p w:rsidR="001F01A1" w:rsidRDefault="001F01A1" w:rsidP="00F84990">
            <w:pPr>
              <w:pStyle w:val="Box"/>
              <w:spacing w:after="120" w:line="276" w:lineRule="auto"/>
              <w:rPr>
                <w:rFonts w:ascii="Georgia" w:hAnsi="Georgia" w:cs="Arial"/>
                <w:b/>
                <w:color w:val="auto"/>
                <w:sz w:val="20"/>
                <w:szCs w:val="20"/>
              </w:rPr>
            </w:pPr>
            <w:r>
              <w:rPr>
                <w:rFonts w:ascii="Georgia" w:hAnsi="Georgia" w:cs="Arial"/>
                <w:b/>
                <w:color w:val="auto"/>
                <w:sz w:val="20"/>
                <w:szCs w:val="20"/>
              </w:rPr>
              <w:t>INSTRUCTIONS</w:t>
            </w:r>
            <w:r w:rsidRPr="005D44F0">
              <w:rPr>
                <w:rFonts w:ascii="Georgia" w:hAnsi="Georgia" w:cs="Arial"/>
                <w:b/>
                <w:color w:val="auto"/>
                <w:sz w:val="20"/>
                <w:szCs w:val="20"/>
              </w:rPr>
              <w:t>:</w:t>
            </w:r>
          </w:p>
          <w:p w:rsidR="00B22244" w:rsidRPr="001F01A1" w:rsidRDefault="004E3825" w:rsidP="00F84990">
            <w:pPr>
              <w:pStyle w:val="Box"/>
              <w:spacing w:after="120" w:line="276" w:lineRule="auto"/>
              <w:rPr>
                <w:rFonts w:ascii="Arial" w:hAnsi="Arial" w:cs="Arial"/>
                <w:color w:val="000000" w:themeColor="text1"/>
                <w:sz w:val="22"/>
                <w:szCs w:val="22"/>
              </w:rPr>
            </w:pPr>
            <w:r>
              <w:rPr>
                <w:rFonts w:ascii="Arial" w:hAnsi="Arial" w:cs="Arial"/>
                <w:color w:val="000000" w:themeColor="text1"/>
                <w:sz w:val="22"/>
                <w:szCs w:val="22"/>
              </w:rPr>
              <w:t>You can use this tool as an in-class discussion activity, and a take-home assignment.</w:t>
            </w:r>
            <w:r w:rsidR="001F01A1">
              <w:rPr>
                <w:rFonts w:ascii="Arial" w:hAnsi="Arial" w:cs="Arial"/>
                <w:color w:val="000000" w:themeColor="text1"/>
                <w:sz w:val="22"/>
                <w:szCs w:val="22"/>
              </w:rPr>
              <w:t xml:space="preserve"> See below for detailed instructions</w:t>
            </w:r>
            <w:r>
              <w:rPr>
                <w:rFonts w:ascii="Arial" w:hAnsi="Arial" w:cs="Arial"/>
                <w:color w:val="000000" w:themeColor="text1"/>
                <w:sz w:val="22"/>
                <w:szCs w:val="22"/>
              </w:rPr>
              <w:t>.</w:t>
            </w:r>
          </w:p>
        </w:tc>
      </w:tr>
      <w:tr w:rsidR="00044A9C" w:rsidRPr="005D44F0">
        <w:trPr>
          <w:jc w:val="center"/>
        </w:trPr>
        <w:tc>
          <w:tcPr>
            <w:tcW w:w="10050" w:type="dxa"/>
            <w:gridSpan w:val="4"/>
            <w:tcBorders>
              <w:top w:val="single" w:sz="12" w:space="0" w:color="auto"/>
              <w:left w:val="single" w:sz="12" w:space="0" w:color="auto"/>
              <w:bottom w:val="single" w:sz="12" w:space="0" w:color="auto"/>
              <w:right w:val="single" w:sz="12" w:space="0" w:color="auto"/>
            </w:tcBorders>
          </w:tcPr>
          <w:p w:rsidR="00044A9C" w:rsidRPr="005D44F0" w:rsidRDefault="00044A9C" w:rsidP="00F84990">
            <w:pPr>
              <w:pStyle w:val="Box"/>
              <w:spacing w:after="120" w:line="276" w:lineRule="auto"/>
              <w:rPr>
                <w:rFonts w:ascii="Arial" w:hAnsi="Arial" w:cs="Arial"/>
                <w:color w:val="auto"/>
                <w:sz w:val="20"/>
                <w:szCs w:val="20"/>
              </w:rPr>
            </w:pPr>
            <w:r w:rsidRPr="005D44F0">
              <w:rPr>
                <w:rFonts w:ascii="Georgia" w:hAnsi="Georgia" w:cs="Arial"/>
                <w:b/>
                <w:color w:val="auto"/>
                <w:sz w:val="20"/>
                <w:szCs w:val="20"/>
              </w:rPr>
              <w:t>SLS STUDENT LEARNING OUTCOMES &amp; ASSESSMENT:</w:t>
            </w:r>
          </w:p>
          <w:p w:rsidR="00044A9C" w:rsidRPr="00516DBC" w:rsidRDefault="00044A9C" w:rsidP="00F84990">
            <w:pPr>
              <w:pStyle w:val="Box"/>
              <w:spacing w:after="120" w:line="276" w:lineRule="auto"/>
              <w:rPr>
                <w:rFonts w:ascii="Arial" w:hAnsi="Arial" w:cs="Arial"/>
                <w:color w:val="auto"/>
                <w:sz w:val="22"/>
                <w:szCs w:val="22"/>
              </w:rPr>
            </w:pPr>
            <w:r w:rsidRPr="00516DBC">
              <w:rPr>
                <w:rFonts w:ascii="Arial" w:hAnsi="Arial" w:cs="Arial"/>
                <w:color w:val="auto"/>
                <w:sz w:val="22"/>
                <w:szCs w:val="22"/>
              </w:rPr>
              <w:t xml:space="preserve">The Serve-Learn-Sustain toolkit teaching tools are designed to help students achieve not only SLS student learning outcomes (SLOs), but the unique learning outcomes for your own courses. Reflection, concept maps, rubrics, and other assessment methods are shown to improve student learning. For resources on how to assess your students’ work, please review our </w:t>
            </w:r>
            <w:hyperlink r:id="rId11" w:history="1">
              <w:r w:rsidRPr="00516DBC">
                <w:rPr>
                  <w:rStyle w:val="Hyperlink"/>
                  <w:rFonts w:ascii="Arial" w:hAnsi="Arial" w:cs="Arial"/>
                  <w:bCs/>
                  <w:sz w:val="22"/>
                  <w:szCs w:val="22"/>
                </w:rPr>
                <w:t>Assessment Tools</w:t>
              </w:r>
            </w:hyperlink>
            <w:r w:rsidRPr="00516DBC">
              <w:rPr>
                <w:rFonts w:ascii="Arial" w:hAnsi="Arial" w:cs="Arial"/>
                <w:color w:val="auto"/>
                <w:sz w:val="22"/>
                <w:szCs w:val="22"/>
              </w:rPr>
              <w:t xml:space="preserve">.  </w:t>
            </w:r>
          </w:p>
          <w:p w:rsidR="00044A9C" w:rsidRPr="005D44F0" w:rsidRDefault="00044A9C" w:rsidP="00F84990">
            <w:pPr>
              <w:pStyle w:val="Box"/>
              <w:spacing w:after="120" w:line="276" w:lineRule="auto"/>
              <w:rPr>
                <w:rFonts w:ascii="Arial" w:hAnsi="Arial" w:cs="Arial"/>
                <w:b/>
                <w:color w:val="auto"/>
                <w:sz w:val="20"/>
                <w:szCs w:val="20"/>
                <w:u w:val="single"/>
              </w:rPr>
            </w:pPr>
            <w:r w:rsidRPr="003F5398">
              <w:rPr>
                <w:rFonts w:ascii="Arial" w:hAnsi="Arial" w:cs="Arial"/>
                <w:b/>
                <w:color w:val="auto"/>
                <w:sz w:val="22"/>
                <w:szCs w:val="22"/>
              </w:rPr>
              <w:t>This tool achieves SLO</w:t>
            </w:r>
            <w:r w:rsidR="00F621B9">
              <w:rPr>
                <w:rFonts w:ascii="Arial" w:hAnsi="Arial" w:cs="Arial"/>
                <w:b/>
                <w:color w:val="auto"/>
                <w:sz w:val="22"/>
                <w:szCs w:val="22"/>
              </w:rPr>
              <w:t xml:space="preserve">s 1, 2 &amp; 3. </w:t>
            </w:r>
            <w:r w:rsidRPr="00516DBC">
              <w:rPr>
                <w:rFonts w:ascii="Arial" w:hAnsi="Arial" w:cs="Arial"/>
                <w:b/>
                <w:color w:val="auto"/>
                <w:sz w:val="22"/>
                <w:szCs w:val="22"/>
              </w:rPr>
              <w:t>See the end of this tool for further details.</w:t>
            </w:r>
          </w:p>
        </w:tc>
      </w:tr>
    </w:tbl>
    <w:p w:rsidR="00044A9C" w:rsidRDefault="00044A9C" w:rsidP="00F84990">
      <w:pPr>
        <w:spacing w:line="276" w:lineRule="auto"/>
      </w:pPr>
    </w:p>
    <w:p w:rsidR="00044A9C" w:rsidRPr="00044A9C" w:rsidRDefault="0020309A" w:rsidP="00F84990">
      <w:pPr>
        <w:spacing w:after="120" w:line="276" w:lineRule="auto"/>
        <w:rPr>
          <w:rFonts w:ascii="Arial" w:hAnsi="Arial" w:cs="Arial"/>
        </w:rPr>
      </w:pPr>
      <w:r w:rsidRPr="0020309A">
        <w:rPr>
          <w:noProof/>
          <w:sz w:val="20"/>
          <w:szCs w:val="20"/>
        </w:rPr>
        <w:pict>
          <v:group id="Group 5" o:spid="_x0000_s1026" style="position:absolute;margin-left:0;margin-top:.6pt;width:348.75pt;height:65.25pt;z-index:251659264;mso-position-horizontal-relative:margin;mso-width-relative:margin;mso-height-relative:margin" coordsize="3676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">
            <v:shapetype id="_x0000_t55" coordsize="21600,21600" o:spt="55" adj="16200" path="m@0,0l0,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8" o:spid="_x0000_s1027" type="#_x0000_t55" style="position:absolute;width:36766;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" adj="19362" filled="f" strokecolor="#ffc000" strokeweight="2.25pt"/>
            <v:shapetype id="_x0000_t202" coordsize="21600,21600" o:spt="202" path="m0,0l0,21600,21600,21600,21600,0xe">
              <v:stroke joinstyle="miter"/>
              <v:path gradientshapeok="t" o:connecttype="rect"/>
            </v:shapetype>
            <v:shape id="Text Box 9" o:spid="_x0000_s1028" type="#_x0000_t202" style="position:absolute;left:3808;top:2000;width:12763;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1E1E61" w:rsidRPr="00791244" w:rsidRDefault="001E1E61" w:rsidP="00044A9C">
                    <w:pPr>
                      <w:rPr>
                        <w:rFonts w:ascii="Georgia" w:hAnsi="Georgia"/>
                        <w:b/>
                        <w:sz w:val="30"/>
                        <w:szCs w:val="30"/>
                      </w:rPr>
                    </w:pPr>
                    <w:r w:rsidRPr="003260C3">
                      <w:rPr>
                        <w:rFonts w:ascii="Georgia" w:hAnsi="Georgia"/>
                        <w:b/>
                        <w:sz w:val="32"/>
                        <w:szCs w:val="30"/>
                      </w:rPr>
                      <w:t xml:space="preserve">Want Help? </w:t>
                    </w:r>
                    <w:r w:rsidRPr="00791244">
                      <w:rPr>
                        <w:rFonts w:ascii="Georgia" w:hAnsi="Georgia"/>
                        <w:b/>
                        <w:sz w:val="30"/>
                        <w:szCs w:val="30"/>
                      </w:rPr>
                      <w:br/>
                    </w:r>
                  </w:p>
                </w:txbxContent>
              </v:textbox>
            </v:shape>
            <v:shape id="Text Box 10" o:spid="_x0000_s1029" type="#_x0000_t202" style="position:absolute;left:15513;top:1378;width:18818;height:5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" fillcolor="white [3201]" stroked="f" strokeweight=".5pt">
              <v:textbox inset="0,0,0,0">
                <w:txbxContent>
                  <w:p w:rsidR="001E1E61" w:rsidRPr="00F621B9" w:rsidRDefault="001E1E61" w:rsidP="00044A9C">
                    <w:pPr>
                      <w:rPr>
                        <w:rFonts w:ascii="Arial" w:hAnsi="Arial" w:cs="Arial"/>
                        <w:sz w:val="22"/>
                        <w:szCs w:val="22"/>
                      </w:rPr>
                    </w:pPr>
                    <w:r w:rsidRPr="00F621B9">
                      <w:rPr>
                        <w:rFonts w:ascii="Arial" w:hAnsi="Arial" w:cs="Arial"/>
                        <w:sz w:val="22"/>
                        <w:szCs w:val="22"/>
                      </w:rPr>
                      <w:t xml:space="preserve">Jennifer Hirsch is the contact for this tool. You can reach her at </w:t>
                    </w:r>
                    <w:hyperlink r:id="rId12" w:history="1">
                      <w:r w:rsidRPr="00F621B9">
                        <w:rPr>
                          <w:rStyle w:val="Hyperlink"/>
                          <w:rFonts w:ascii="Arial" w:hAnsi="Arial" w:cs="Arial"/>
                          <w:color w:val="4472C4" w:themeColor="accent1"/>
                          <w:sz w:val="22"/>
                          <w:szCs w:val="22"/>
                        </w:rPr>
                        <w:t>jennifer.hirsch@gatech.edu</w:t>
                      </w:r>
                    </w:hyperlink>
                    <w:r w:rsidRPr="00F621B9">
                      <w:rPr>
                        <w:rStyle w:val="Hyperlink"/>
                        <w:rFonts w:ascii="Arial" w:hAnsi="Arial" w:cs="Arial"/>
                        <w:sz w:val="22"/>
                        <w:szCs w:val="22"/>
                      </w:rPr>
                      <w:t>.</w:t>
                    </w:r>
                  </w:p>
                </w:txbxContent>
              </v:textbox>
            </v:shape>
            <w10:wrap type="square" anchorx="margin"/>
          </v:group>
        </w:pict>
      </w:r>
    </w:p>
    <w:p w:rsidR="001F01A1" w:rsidRDefault="00FA0E58" w:rsidP="00F84990">
      <w:pPr>
        <w:pStyle w:val="Box"/>
        <w:pBdr>
          <w:bottom w:val="single" w:sz="4" w:space="1" w:color="auto"/>
        </w:pBdr>
        <w:spacing w:after="360" w:line="276" w:lineRule="auto"/>
        <w:rPr>
          <w:rFonts w:ascii="Georgia" w:hAnsi="Georgia" w:cs="Arial"/>
          <w:color w:val="auto"/>
          <w:sz w:val="40"/>
          <w:szCs w:val="40"/>
        </w:rPr>
      </w:pPr>
      <w:r>
        <w:rPr>
          <w:rFonts w:ascii="Georgia" w:hAnsi="Georgia" w:cs="Arial"/>
          <w:color w:val="auto"/>
          <w:sz w:val="40"/>
          <w:szCs w:val="40"/>
        </w:rPr>
        <w:t>Technology</w:t>
      </w:r>
      <w:r w:rsidR="00C7650A">
        <w:rPr>
          <w:rFonts w:ascii="Georgia" w:hAnsi="Georgia" w:cs="Arial"/>
          <w:color w:val="auto"/>
          <w:sz w:val="40"/>
          <w:szCs w:val="40"/>
        </w:rPr>
        <w:t xml:space="preserve"> and Social Context</w:t>
      </w:r>
    </w:p>
    <w:p w:rsidR="00A72394" w:rsidRDefault="001934E3" w:rsidP="00F84990">
      <w:pPr>
        <w:pStyle w:val="Box"/>
        <w:spacing w:after="120" w:line="276" w:lineRule="auto"/>
        <w:rPr>
          <w:rFonts w:ascii="Georgia" w:hAnsi="Georgia" w:cs="Arial"/>
          <w:color w:val="auto"/>
          <w:sz w:val="32"/>
          <w:szCs w:val="32"/>
        </w:rPr>
      </w:pPr>
      <w:r>
        <w:rPr>
          <w:rFonts w:ascii="Georgia" w:hAnsi="Georgia" w:cs="Arial"/>
          <w:b/>
          <w:color w:val="auto"/>
          <w:sz w:val="32"/>
          <w:szCs w:val="32"/>
        </w:rPr>
        <w:t xml:space="preserve">Overview </w:t>
      </w:r>
    </w:p>
    <w:p w:rsidR="004E3825" w:rsidRDefault="004E3825" w:rsidP="00F84990">
      <w:pPr>
        <w:pStyle w:val="Box"/>
        <w:spacing w:after="120" w:line="276" w:lineRule="auto"/>
        <w:rPr>
          <w:rFonts w:ascii="Arial" w:hAnsi="Arial" w:cs="Arial"/>
          <w:color w:val="auto"/>
          <w:sz w:val="24"/>
        </w:rPr>
      </w:pPr>
      <w:r w:rsidRPr="004E3825">
        <w:rPr>
          <w:rFonts w:ascii="Arial" w:hAnsi="Arial" w:cs="Arial"/>
          <w:color w:val="auto"/>
          <w:sz w:val="24"/>
        </w:rPr>
        <w:t xml:space="preserve">This tool helps students understand how social context can influence the success or failure of projects; as a result, students will learn to design their own projects, both local and abroad, with attention to the context and the communities in which they’re working. </w:t>
      </w:r>
    </w:p>
    <w:p w:rsidR="001934E3" w:rsidRPr="00A72394" w:rsidRDefault="00A72394" w:rsidP="00F84990">
      <w:pPr>
        <w:pStyle w:val="Box"/>
        <w:spacing w:after="120" w:line="276" w:lineRule="auto"/>
        <w:rPr>
          <w:rFonts w:ascii="Arial" w:hAnsi="Arial" w:cs="Arial"/>
          <w:color w:val="auto"/>
          <w:sz w:val="24"/>
        </w:rPr>
      </w:pPr>
      <w:r>
        <w:rPr>
          <w:rFonts w:ascii="Arial" w:hAnsi="Arial" w:cs="Arial"/>
          <w:color w:val="auto"/>
          <w:sz w:val="24"/>
        </w:rPr>
        <w:t xml:space="preserve">Below you will find detailed instructions </w:t>
      </w:r>
      <w:r w:rsidR="004E3825">
        <w:rPr>
          <w:rFonts w:ascii="Arial" w:hAnsi="Arial" w:cs="Arial"/>
          <w:color w:val="auto"/>
          <w:sz w:val="24"/>
        </w:rPr>
        <w:t>for</w:t>
      </w:r>
      <w:r>
        <w:rPr>
          <w:rFonts w:ascii="Arial" w:hAnsi="Arial" w:cs="Arial"/>
          <w:color w:val="auto"/>
          <w:sz w:val="24"/>
        </w:rPr>
        <w:t xml:space="preserve"> two possible activities</w:t>
      </w:r>
      <w:r w:rsidR="004E3825">
        <w:rPr>
          <w:rFonts w:ascii="Arial" w:hAnsi="Arial" w:cs="Arial"/>
          <w:color w:val="auto"/>
          <w:sz w:val="24"/>
        </w:rPr>
        <w:t>,</w:t>
      </w:r>
      <w:r>
        <w:rPr>
          <w:rFonts w:ascii="Arial" w:hAnsi="Arial" w:cs="Arial"/>
          <w:color w:val="auto"/>
          <w:sz w:val="24"/>
        </w:rPr>
        <w:t xml:space="preserve"> one an in-class discussion, </w:t>
      </w:r>
      <w:r w:rsidR="004E3825">
        <w:rPr>
          <w:rFonts w:ascii="Arial" w:hAnsi="Arial" w:cs="Arial"/>
          <w:color w:val="auto"/>
          <w:sz w:val="24"/>
        </w:rPr>
        <w:t xml:space="preserve">and </w:t>
      </w:r>
      <w:r w:rsidR="009C6E02">
        <w:rPr>
          <w:rFonts w:ascii="Arial" w:hAnsi="Arial" w:cs="Arial"/>
          <w:color w:val="auto"/>
          <w:sz w:val="24"/>
        </w:rPr>
        <w:t>one</w:t>
      </w:r>
      <w:r>
        <w:rPr>
          <w:rFonts w:ascii="Arial" w:hAnsi="Arial" w:cs="Arial"/>
          <w:color w:val="auto"/>
          <w:sz w:val="24"/>
        </w:rPr>
        <w:t xml:space="preserve"> take</w:t>
      </w:r>
      <w:r w:rsidR="004E3825">
        <w:rPr>
          <w:rFonts w:ascii="Arial" w:hAnsi="Arial" w:cs="Arial"/>
          <w:color w:val="auto"/>
          <w:sz w:val="24"/>
        </w:rPr>
        <w:t>-</w:t>
      </w:r>
      <w:r>
        <w:rPr>
          <w:rFonts w:ascii="Arial" w:hAnsi="Arial" w:cs="Arial"/>
          <w:color w:val="auto"/>
          <w:sz w:val="24"/>
        </w:rPr>
        <w:t xml:space="preserve">home writing assignment. </w:t>
      </w:r>
    </w:p>
    <w:p w:rsidR="001F01A1" w:rsidRPr="006271DC" w:rsidRDefault="001F01A1" w:rsidP="00F84990">
      <w:pPr>
        <w:pStyle w:val="Heading1"/>
        <w:spacing w:after="240" w:line="276" w:lineRule="auto"/>
        <w:rPr>
          <w:rFonts w:ascii="Georgia" w:hAnsi="Georgia"/>
          <w:b/>
          <w:color w:val="auto"/>
        </w:rPr>
      </w:pPr>
      <w:r w:rsidRPr="006271DC">
        <w:rPr>
          <w:rFonts w:ascii="Georgia" w:hAnsi="Georgia"/>
          <w:b/>
          <w:color w:val="auto"/>
        </w:rPr>
        <w:t xml:space="preserve">Discussion </w:t>
      </w:r>
      <w:r w:rsidR="00A72394" w:rsidRPr="006271DC">
        <w:rPr>
          <w:rFonts w:ascii="Georgia" w:hAnsi="Georgia"/>
          <w:b/>
          <w:color w:val="auto"/>
        </w:rPr>
        <w:t>A</w:t>
      </w:r>
      <w:r w:rsidRPr="006271DC">
        <w:rPr>
          <w:rFonts w:ascii="Georgia" w:hAnsi="Georgia"/>
          <w:b/>
          <w:color w:val="auto"/>
        </w:rPr>
        <w:t xml:space="preserve">ctivity: (45-60 </w:t>
      </w:r>
      <w:r w:rsidR="000D70FE" w:rsidRPr="006271DC">
        <w:rPr>
          <w:rFonts w:ascii="Georgia" w:hAnsi="Georgia"/>
          <w:b/>
          <w:color w:val="auto"/>
        </w:rPr>
        <w:t>minutes) *</w:t>
      </w:r>
      <w:r w:rsidRPr="006271DC">
        <w:rPr>
          <w:rFonts w:ascii="Georgia" w:hAnsi="Georgia"/>
          <w:b/>
          <w:color w:val="auto"/>
        </w:rPr>
        <w:t xml:space="preserve"> </w:t>
      </w:r>
    </w:p>
    <w:p w:rsidR="001934E3" w:rsidRPr="001934E3" w:rsidRDefault="001934E3" w:rsidP="00F84990">
      <w:pPr>
        <w:pStyle w:val="Box"/>
        <w:spacing w:after="120" w:line="276" w:lineRule="auto"/>
        <w:rPr>
          <w:rFonts w:ascii="Arial" w:hAnsi="Arial" w:cs="Arial"/>
          <w:color w:val="auto"/>
          <w:sz w:val="24"/>
        </w:rPr>
      </w:pPr>
      <w:r w:rsidRPr="001934E3">
        <w:rPr>
          <w:rFonts w:ascii="Arial" w:hAnsi="Arial" w:cs="Arial"/>
          <w:b/>
          <w:color w:val="auto"/>
          <w:sz w:val="24"/>
        </w:rPr>
        <w:t>PART I:</w:t>
      </w:r>
      <w:r>
        <w:rPr>
          <w:rFonts w:ascii="Arial" w:hAnsi="Arial" w:cs="Arial"/>
          <w:color w:val="auto"/>
          <w:sz w:val="24"/>
        </w:rPr>
        <w:t xml:space="preserve"> </w:t>
      </w:r>
      <w:r w:rsidRPr="001934E3">
        <w:rPr>
          <w:rFonts w:ascii="Arial" w:hAnsi="Arial" w:cs="Arial"/>
          <w:color w:val="auto"/>
          <w:sz w:val="24"/>
        </w:rPr>
        <w:t xml:space="preserve">The </w:t>
      </w:r>
      <w:r w:rsidR="00273B96">
        <w:rPr>
          <w:rFonts w:ascii="Arial" w:hAnsi="Arial" w:cs="Arial"/>
          <w:color w:val="auto"/>
          <w:sz w:val="24"/>
        </w:rPr>
        <w:t>case studies are</w:t>
      </w:r>
      <w:r w:rsidRPr="001934E3">
        <w:rPr>
          <w:rFonts w:ascii="Arial" w:hAnsi="Arial" w:cs="Arial"/>
          <w:color w:val="auto"/>
          <w:sz w:val="24"/>
        </w:rPr>
        <w:t xml:space="preserve"> divided into three </w:t>
      </w:r>
      <w:r w:rsidR="008F5EB2">
        <w:rPr>
          <w:rFonts w:ascii="Arial" w:hAnsi="Arial" w:cs="Arial"/>
          <w:color w:val="auto"/>
          <w:sz w:val="24"/>
        </w:rPr>
        <w:t>categories</w:t>
      </w:r>
      <w:r w:rsidRPr="001934E3">
        <w:rPr>
          <w:rFonts w:ascii="Arial" w:hAnsi="Arial" w:cs="Arial"/>
          <w:color w:val="auto"/>
          <w:sz w:val="24"/>
        </w:rPr>
        <w:t>:</w:t>
      </w:r>
    </w:p>
    <w:p w:rsidR="008F5EB2" w:rsidRDefault="008F5EB2" w:rsidP="008F5EB2">
      <w:pPr>
        <w:pStyle w:val="Box"/>
        <w:numPr>
          <w:ilvl w:val="0"/>
          <w:numId w:val="14"/>
        </w:numPr>
        <w:spacing w:after="120" w:line="276" w:lineRule="auto"/>
        <w:rPr>
          <w:rFonts w:ascii="Arial" w:hAnsi="Arial" w:cs="Arial"/>
          <w:color w:val="auto"/>
          <w:sz w:val="24"/>
        </w:rPr>
      </w:pPr>
      <w:r w:rsidRPr="004E3825">
        <w:rPr>
          <w:rFonts w:ascii="Arial" w:hAnsi="Arial" w:cs="Arial"/>
          <w:color w:val="auto"/>
          <w:sz w:val="24"/>
        </w:rPr>
        <w:t xml:space="preserve">situations where entities use social context and power structures to exploit </w:t>
      </w:r>
      <w:r>
        <w:rPr>
          <w:rFonts w:ascii="Arial" w:hAnsi="Arial" w:cs="Arial"/>
          <w:color w:val="auto"/>
          <w:sz w:val="24"/>
        </w:rPr>
        <w:t xml:space="preserve">a </w:t>
      </w:r>
      <w:r w:rsidRPr="004E3825">
        <w:rPr>
          <w:rFonts w:ascii="Arial" w:hAnsi="Arial" w:cs="Arial"/>
          <w:color w:val="auto"/>
          <w:sz w:val="24"/>
        </w:rPr>
        <w:t>population</w:t>
      </w:r>
      <w:r>
        <w:rPr>
          <w:rFonts w:ascii="Arial" w:hAnsi="Arial" w:cs="Arial"/>
          <w:color w:val="auto"/>
          <w:sz w:val="24"/>
        </w:rPr>
        <w:t>;</w:t>
      </w:r>
    </w:p>
    <w:p w:rsidR="008F5EB2" w:rsidRDefault="008F5EB2" w:rsidP="008F5EB2">
      <w:pPr>
        <w:pStyle w:val="Box"/>
        <w:numPr>
          <w:ilvl w:val="0"/>
          <w:numId w:val="14"/>
        </w:numPr>
        <w:spacing w:after="120" w:line="276" w:lineRule="auto"/>
        <w:rPr>
          <w:rFonts w:ascii="Arial" w:hAnsi="Arial" w:cs="Arial"/>
          <w:color w:val="auto"/>
          <w:sz w:val="24"/>
        </w:rPr>
      </w:pPr>
      <w:r w:rsidRPr="004E3825">
        <w:rPr>
          <w:rFonts w:ascii="Arial" w:hAnsi="Arial" w:cs="Arial"/>
          <w:color w:val="auto"/>
          <w:sz w:val="24"/>
        </w:rPr>
        <w:t>situations where projects fail by not accounting for the social context of a communit</w:t>
      </w:r>
      <w:r>
        <w:rPr>
          <w:rFonts w:ascii="Arial" w:hAnsi="Arial" w:cs="Arial"/>
          <w:color w:val="auto"/>
          <w:sz w:val="24"/>
        </w:rPr>
        <w:t>y;</w:t>
      </w:r>
      <w:r w:rsidRPr="004E3825">
        <w:rPr>
          <w:rFonts w:ascii="Arial" w:hAnsi="Arial" w:cs="Arial"/>
          <w:color w:val="auto"/>
          <w:sz w:val="24"/>
        </w:rPr>
        <w:t xml:space="preserve"> and</w:t>
      </w:r>
    </w:p>
    <w:p w:rsidR="008F5EB2" w:rsidRDefault="008F5EB2" w:rsidP="008F5EB2">
      <w:pPr>
        <w:pStyle w:val="Box"/>
        <w:numPr>
          <w:ilvl w:val="0"/>
          <w:numId w:val="14"/>
        </w:numPr>
        <w:spacing w:after="120" w:line="276" w:lineRule="auto"/>
        <w:rPr>
          <w:rFonts w:ascii="Arial" w:hAnsi="Arial" w:cs="Arial"/>
          <w:color w:val="auto"/>
          <w:sz w:val="24"/>
        </w:rPr>
      </w:pPr>
      <w:r w:rsidRPr="004E3825">
        <w:rPr>
          <w:rFonts w:ascii="Arial" w:hAnsi="Arial" w:cs="Arial"/>
          <w:color w:val="auto"/>
          <w:sz w:val="24"/>
        </w:rPr>
        <w:t>situations where projects succeed by accounting for the social context of a community.</w:t>
      </w:r>
      <w:r w:rsidRPr="00F7314C">
        <w:rPr>
          <w:rFonts w:ascii="Arial" w:hAnsi="Arial" w:cs="Arial"/>
          <w:color w:val="auto"/>
          <w:sz w:val="24"/>
        </w:rPr>
        <w:t xml:space="preserve"> </w:t>
      </w:r>
    </w:p>
    <w:p w:rsidR="001F01A1" w:rsidRPr="001934E3" w:rsidRDefault="001934E3" w:rsidP="00F84990">
      <w:pPr>
        <w:pStyle w:val="Box"/>
        <w:spacing w:after="240" w:line="276" w:lineRule="auto"/>
        <w:rPr>
          <w:rFonts w:ascii="Arial" w:hAnsi="Arial" w:cs="Arial"/>
          <w:color w:val="auto"/>
          <w:sz w:val="24"/>
        </w:rPr>
      </w:pPr>
      <w:r>
        <w:rPr>
          <w:rFonts w:ascii="Arial" w:hAnsi="Arial" w:cs="Arial"/>
          <w:color w:val="auto"/>
          <w:sz w:val="24"/>
        </w:rPr>
        <w:t>Based upon the subject</w:t>
      </w:r>
      <w:r w:rsidR="00A72394">
        <w:rPr>
          <w:rFonts w:ascii="Arial" w:hAnsi="Arial" w:cs="Arial"/>
          <w:color w:val="auto"/>
          <w:sz w:val="24"/>
        </w:rPr>
        <w:t>s</w:t>
      </w:r>
      <w:r>
        <w:rPr>
          <w:rFonts w:ascii="Arial" w:hAnsi="Arial" w:cs="Arial"/>
          <w:color w:val="auto"/>
          <w:sz w:val="24"/>
        </w:rPr>
        <w:t xml:space="preserve"> which overlap with your class, s</w:t>
      </w:r>
      <w:r w:rsidR="001F01A1" w:rsidRPr="001934E3">
        <w:rPr>
          <w:rFonts w:ascii="Arial" w:hAnsi="Arial" w:cs="Arial"/>
          <w:color w:val="auto"/>
          <w:sz w:val="24"/>
        </w:rPr>
        <w:t xml:space="preserve">elect a case study (or video) from each category for a total of 3 readings or videos. </w:t>
      </w:r>
      <w:r>
        <w:rPr>
          <w:rFonts w:ascii="Arial" w:hAnsi="Arial" w:cs="Arial"/>
          <w:color w:val="auto"/>
          <w:sz w:val="24"/>
        </w:rPr>
        <w:t xml:space="preserve">Depending </w:t>
      </w:r>
      <w:r w:rsidR="001F01A1" w:rsidRPr="001934E3">
        <w:rPr>
          <w:rFonts w:ascii="Arial" w:hAnsi="Arial" w:cs="Arial"/>
          <w:color w:val="auto"/>
          <w:sz w:val="24"/>
        </w:rPr>
        <w:t xml:space="preserve">on the timeframe of your class, it may be best to limit your video usage to one. </w:t>
      </w:r>
      <w:r w:rsidR="00777C71">
        <w:rPr>
          <w:rFonts w:ascii="Arial" w:hAnsi="Arial" w:cs="Arial"/>
          <w:color w:val="auto"/>
          <w:sz w:val="24"/>
        </w:rPr>
        <w:t>You may assign these readings and videos as homework prior to class, or ask students to read them during the class period.</w:t>
      </w:r>
    </w:p>
    <w:p w:rsidR="001F01A1" w:rsidRPr="001934E3" w:rsidRDefault="001934E3" w:rsidP="00F84990">
      <w:pPr>
        <w:pStyle w:val="Box"/>
        <w:spacing w:after="120" w:line="276" w:lineRule="auto"/>
        <w:rPr>
          <w:rFonts w:ascii="Arial" w:hAnsi="Arial" w:cs="Arial"/>
          <w:color w:val="auto"/>
          <w:sz w:val="24"/>
        </w:rPr>
      </w:pPr>
      <w:r w:rsidRPr="001934E3">
        <w:rPr>
          <w:rFonts w:ascii="Arial" w:hAnsi="Arial" w:cs="Arial"/>
          <w:b/>
          <w:color w:val="auto"/>
          <w:sz w:val="24"/>
        </w:rPr>
        <w:t>PART II</w:t>
      </w:r>
      <w:r w:rsidR="00A72394">
        <w:rPr>
          <w:rFonts w:ascii="Arial" w:hAnsi="Arial" w:cs="Arial"/>
          <w:b/>
          <w:color w:val="auto"/>
          <w:sz w:val="24"/>
        </w:rPr>
        <w:t xml:space="preserve"> (15 minutes)</w:t>
      </w:r>
      <w:r w:rsidRPr="001934E3">
        <w:rPr>
          <w:rFonts w:ascii="Arial" w:hAnsi="Arial" w:cs="Arial"/>
          <w:b/>
          <w:color w:val="auto"/>
          <w:sz w:val="24"/>
        </w:rPr>
        <w:t>:</w:t>
      </w:r>
      <w:r>
        <w:rPr>
          <w:rFonts w:ascii="Arial" w:hAnsi="Arial" w:cs="Arial"/>
          <w:color w:val="auto"/>
          <w:sz w:val="24"/>
        </w:rPr>
        <w:t xml:space="preserve"> Ask students to </w:t>
      </w:r>
      <w:r w:rsidR="001F01A1" w:rsidRPr="001934E3">
        <w:rPr>
          <w:rFonts w:ascii="Arial" w:hAnsi="Arial" w:cs="Arial"/>
          <w:color w:val="auto"/>
          <w:sz w:val="24"/>
        </w:rPr>
        <w:t xml:space="preserve">read </w:t>
      </w:r>
      <w:r w:rsidR="008F5EB2">
        <w:rPr>
          <w:rFonts w:ascii="Arial" w:hAnsi="Arial" w:cs="Arial"/>
          <w:color w:val="auto"/>
          <w:sz w:val="24"/>
        </w:rPr>
        <w:t xml:space="preserve">the </w:t>
      </w:r>
      <w:r>
        <w:rPr>
          <w:rFonts w:ascii="Arial" w:hAnsi="Arial" w:cs="Arial"/>
          <w:color w:val="auto"/>
          <w:sz w:val="24"/>
        </w:rPr>
        <w:t>case study you selected</w:t>
      </w:r>
      <w:r w:rsidR="008F5EB2">
        <w:rPr>
          <w:rFonts w:ascii="Arial" w:hAnsi="Arial" w:cs="Arial"/>
          <w:color w:val="auto"/>
          <w:sz w:val="24"/>
        </w:rPr>
        <w:t xml:space="preserve"> from the first category</w:t>
      </w:r>
      <w:r w:rsidR="001F01A1" w:rsidRPr="001934E3">
        <w:rPr>
          <w:rFonts w:ascii="Arial" w:hAnsi="Arial" w:cs="Arial"/>
          <w:color w:val="auto"/>
          <w:sz w:val="24"/>
        </w:rPr>
        <w:t>. After students have read the case study ask the following questions, allowing thorough discussion between questions</w:t>
      </w:r>
      <w:r w:rsidR="003D27B3">
        <w:rPr>
          <w:rFonts w:ascii="Arial" w:hAnsi="Arial" w:cs="Arial"/>
          <w:color w:val="auto"/>
          <w:sz w:val="24"/>
        </w:rPr>
        <w:t>:</w:t>
      </w:r>
    </w:p>
    <w:p w:rsidR="001F01A1" w:rsidRPr="001934E3" w:rsidRDefault="001F01A1" w:rsidP="00F84990">
      <w:pPr>
        <w:pStyle w:val="Box"/>
        <w:numPr>
          <w:ilvl w:val="0"/>
          <w:numId w:val="10"/>
        </w:numPr>
        <w:spacing w:after="120" w:line="276" w:lineRule="auto"/>
        <w:rPr>
          <w:rFonts w:ascii="Arial" w:hAnsi="Arial" w:cs="Arial"/>
          <w:color w:val="auto"/>
          <w:sz w:val="24"/>
        </w:rPr>
      </w:pPr>
      <w:r w:rsidRPr="001934E3">
        <w:rPr>
          <w:rFonts w:ascii="Arial" w:hAnsi="Arial" w:cs="Arial"/>
          <w:color w:val="auto"/>
          <w:sz w:val="24"/>
        </w:rPr>
        <w:t xml:space="preserve">How does this case study relate to my field and major? </w:t>
      </w:r>
    </w:p>
    <w:p w:rsidR="001F01A1" w:rsidRPr="001934E3" w:rsidRDefault="001F01A1" w:rsidP="00F84990">
      <w:pPr>
        <w:pStyle w:val="Box"/>
        <w:numPr>
          <w:ilvl w:val="0"/>
          <w:numId w:val="10"/>
        </w:numPr>
        <w:spacing w:after="120" w:line="276" w:lineRule="auto"/>
        <w:rPr>
          <w:rFonts w:ascii="Arial" w:hAnsi="Arial" w:cs="Arial"/>
          <w:color w:val="auto"/>
          <w:sz w:val="24"/>
        </w:rPr>
      </w:pPr>
      <w:r w:rsidRPr="001934E3">
        <w:rPr>
          <w:rFonts w:ascii="Arial" w:hAnsi="Arial" w:cs="Arial"/>
          <w:color w:val="auto"/>
          <w:sz w:val="24"/>
        </w:rPr>
        <w:t xml:space="preserve">How do the actors in this case study make decisions for communities </w:t>
      </w:r>
      <w:r w:rsidR="003D27B3">
        <w:rPr>
          <w:rFonts w:ascii="Arial" w:hAnsi="Arial" w:cs="Arial"/>
          <w:color w:val="auto"/>
          <w:sz w:val="24"/>
        </w:rPr>
        <w:t xml:space="preserve">that </w:t>
      </w:r>
      <w:r w:rsidRPr="001934E3">
        <w:rPr>
          <w:rFonts w:ascii="Arial" w:hAnsi="Arial" w:cs="Arial"/>
          <w:color w:val="auto"/>
          <w:sz w:val="24"/>
        </w:rPr>
        <w:t xml:space="preserve">exploit the population </w:t>
      </w:r>
      <w:r w:rsidR="00337363">
        <w:rPr>
          <w:rFonts w:ascii="Arial" w:hAnsi="Arial" w:cs="Arial"/>
          <w:color w:val="auto"/>
          <w:sz w:val="24"/>
        </w:rPr>
        <w:t>through the use of technology</w:t>
      </w:r>
      <w:r w:rsidRPr="001934E3">
        <w:rPr>
          <w:rFonts w:ascii="Arial" w:hAnsi="Arial" w:cs="Arial"/>
          <w:color w:val="auto"/>
          <w:sz w:val="24"/>
        </w:rPr>
        <w:t xml:space="preserve">? </w:t>
      </w:r>
    </w:p>
    <w:p w:rsidR="001934E3" w:rsidRDefault="001F01A1" w:rsidP="00F84990">
      <w:pPr>
        <w:pStyle w:val="Box"/>
        <w:numPr>
          <w:ilvl w:val="0"/>
          <w:numId w:val="10"/>
        </w:numPr>
        <w:spacing w:after="120" w:line="276" w:lineRule="auto"/>
        <w:rPr>
          <w:rFonts w:ascii="Arial" w:hAnsi="Arial" w:cs="Arial"/>
          <w:color w:val="auto"/>
          <w:sz w:val="24"/>
        </w:rPr>
      </w:pPr>
      <w:r w:rsidRPr="001934E3">
        <w:rPr>
          <w:rFonts w:ascii="Arial" w:hAnsi="Arial" w:cs="Arial"/>
          <w:color w:val="auto"/>
          <w:sz w:val="24"/>
        </w:rPr>
        <w:t>As a student and a professional, how can I learn from these examples</w:t>
      </w:r>
      <w:r w:rsidR="005F41A3">
        <w:rPr>
          <w:rFonts w:ascii="Arial" w:hAnsi="Arial" w:cs="Arial"/>
          <w:color w:val="auto"/>
          <w:sz w:val="24"/>
        </w:rPr>
        <w:t>?</w:t>
      </w:r>
      <w:r w:rsidR="003D27B3">
        <w:rPr>
          <w:rFonts w:ascii="Arial" w:hAnsi="Arial" w:cs="Arial"/>
          <w:color w:val="auto"/>
          <w:sz w:val="24"/>
        </w:rPr>
        <w:t xml:space="preserve"> How </w:t>
      </w:r>
      <w:r w:rsidRPr="001934E3">
        <w:rPr>
          <w:rFonts w:ascii="Arial" w:hAnsi="Arial" w:cs="Arial"/>
          <w:color w:val="auto"/>
          <w:sz w:val="24"/>
        </w:rPr>
        <w:t xml:space="preserve">can </w:t>
      </w:r>
      <w:r w:rsidR="003D27B3">
        <w:rPr>
          <w:rFonts w:ascii="Arial" w:hAnsi="Arial" w:cs="Arial"/>
          <w:color w:val="auto"/>
          <w:sz w:val="24"/>
        </w:rPr>
        <w:t xml:space="preserve">that learning </w:t>
      </w:r>
      <w:r w:rsidRPr="001934E3">
        <w:rPr>
          <w:rFonts w:ascii="Arial" w:hAnsi="Arial" w:cs="Arial"/>
          <w:color w:val="auto"/>
          <w:sz w:val="24"/>
        </w:rPr>
        <w:t xml:space="preserve">help me </w:t>
      </w:r>
      <w:r w:rsidR="003D27B3">
        <w:rPr>
          <w:rFonts w:ascii="Arial" w:hAnsi="Arial" w:cs="Arial"/>
          <w:color w:val="auto"/>
          <w:sz w:val="24"/>
        </w:rPr>
        <w:t xml:space="preserve">with </w:t>
      </w:r>
      <w:r w:rsidRPr="001934E3">
        <w:rPr>
          <w:rFonts w:ascii="Arial" w:hAnsi="Arial" w:cs="Arial"/>
          <w:color w:val="auto"/>
          <w:sz w:val="24"/>
        </w:rPr>
        <w:t xml:space="preserve">designing projects in the future? </w:t>
      </w:r>
    </w:p>
    <w:p w:rsidR="00A72394" w:rsidRDefault="001934E3" w:rsidP="00F84990">
      <w:pPr>
        <w:pStyle w:val="Box"/>
        <w:spacing w:before="240" w:after="120" w:line="276" w:lineRule="auto"/>
        <w:rPr>
          <w:rFonts w:ascii="Arial" w:hAnsi="Arial" w:cs="Arial"/>
          <w:color w:val="auto"/>
          <w:sz w:val="24"/>
        </w:rPr>
      </w:pPr>
      <w:r w:rsidRPr="001934E3">
        <w:rPr>
          <w:rFonts w:ascii="Arial" w:hAnsi="Arial" w:cs="Arial"/>
          <w:b/>
          <w:color w:val="auto"/>
          <w:sz w:val="24"/>
        </w:rPr>
        <w:t>PART III</w:t>
      </w:r>
      <w:r w:rsidR="00A72394">
        <w:rPr>
          <w:rFonts w:ascii="Arial" w:hAnsi="Arial" w:cs="Arial"/>
          <w:b/>
          <w:color w:val="auto"/>
          <w:sz w:val="24"/>
        </w:rPr>
        <w:t xml:space="preserve"> (15 </w:t>
      </w:r>
      <w:r w:rsidR="000D70FE">
        <w:rPr>
          <w:rFonts w:ascii="Arial" w:hAnsi="Arial" w:cs="Arial"/>
          <w:b/>
          <w:color w:val="auto"/>
          <w:sz w:val="24"/>
        </w:rPr>
        <w:t>minutes) *</w:t>
      </w:r>
      <w:r w:rsidRPr="001934E3">
        <w:rPr>
          <w:rFonts w:ascii="Arial" w:hAnsi="Arial" w:cs="Arial"/>
          <w:b/>
          <w:color w:val="auto"/>
          <w:sz w:val="24"/>
        </w:rPr>
        <w:t>:</w:t>
      </w:r>
      <w:r>
        <w:rPr>
          <w:rFonts w:ascii="Arial" w:hAnsi="Arial" w:cs="Arial"/>
          <w:color w:val="auto"/>
          <w:sz w:val="24"/>
        </w:rPr>
        <w:t xml:space="preserve"> Ask </w:t>
      </w:r>
      <w:r w:rsidR="001F01A1" w:rsidRPr="001934E3">
        <w:rPr>
          <w:rFonts w:ascii="Arial" w:hAnsi="Arial" w:cs="Arial"/>
          <w:color w:val="auto"/>
          <w:sz w:val="24"/>
        </w:rPr>
        <w:t xml:space="preserve">students </w:t>
      </w:r>
      <w:r>
        <w:rPr>
          <w:rFonts w:ascii="Arial" w:hAnsi="Arial" w:cs="Arial"/>
          <w:color w:val="auto"/>
          <w:sz w:val="24"/>
        </w:rPr>
        <w:t xml:space="preserve">to </w:t>
      </w:r>
      <w:r w:rsidR="001F01A1" w:rsidRPr="001934E3">
        <w:rPr>
          <w:rFonts w:ascii="Arial" w:hAnsi="Arial" w:cs="Arial"/>
          <w:color w:val="auto"/>
          <w:sz w:val="24"/>
        </w:rPr>
        <w:t xml:space="preserve">read the </w:t>
      </w:r>
      <w:r w:rsidR="003D27B3">
        <w:rPr>
          <w:rFonts w:ascii="Arial" w:hAnsi="Arial" w:cs="Arial"/>
          <w:color w:val="auto"/>
          <w:sz w:val="24"/>
        </w:rPr>
        <w:t>case study</w:t>
      </w:r>
      <w:r>
        <w:rPr>
          <w:rFonts w:ascii="Arial" w:hAnsi="Arial" w:cs="Arial"/>
          <w:color w:val="auto"/>
          <w:sz w:val="24"/>
        </w:rPr>
        <w:t xml:space="preserve"> you selected</w:t>
      </w:r>
      <w:r w:rsidR="008F5EB2">
        <w:rPr>
          <w:rFonts w:ascii="Arial" w:hAnsi="Arial" w:cs="Arial"/>
          <w:color w:val="auto"/>
          <w:sz w:val="24"/>
        </w:rPr>
        <w:t xml:space="preserve"> from the second category</w:t>
      </w:r>
      <w:r>
        <w:rPr>
          <w:rFonts w:ascii="Arial" w:hAnsi="Arial" w:cs="Arial"/>
          <w:color w:val="auto"/>
          <w:sz w:val="24"/>
        </w:rPr>
        <w:t xml:space="preserve">. </w:t>
      </w:r>
      <w:r w:rsidR="001F01A1" w:rsidRPr="001934E3">
        <w:rPr>
          <w:rFonts w:ascii="Arial" w:hAnsi="Arial" w:cs="Arial"/>
          <w:color w:val="auto"/>
          <w:sz w:val="24"/>
        </w:rPr>
        <w:t>After students have read the case study, ask the following questions, allowing thorough discussion between questions</w:t>
      </w:r>
      <w:r w:rsidR="003D27B3">
        <w:rPr>
          <w:rFonts w:ascii="Arial" w:hAnsi="Arial" w:cs="Arial"/>
          <w:color w:val="auto"/>
          <w:sz w:val="24"/>
        </w:rPr>
        <w:t>:</w:t>
      </w:r>
      <w:r w:rsidR="001F01A1" w:rsidRPr="001934E3">
        <w:rPr>
          <w:rFonts w:ascii="Arial" w:hAnsi="Arial" w:cs="Arial"/>
          <w:color w:val="auto"/>
          <w:sz w:val="24"/>
        </w:rPr>
        <w:t xml:space="preserve"> </w:t>
      </w:r>
    </w:p>
    <w:p w:rsidR="001F01A1" w:rsidRPr="001934E3" w:rsidRDefault="001F01A1" w:rsidP="00F84990">
      <w:pPr>
        <w:pStyle w:val="Box"/>
        <w:numPr>
          <w:ilvl w:val="0"/>
          <w:numId w:val="11"/>
        </w:numPr>
        <w:spacing w:after="120" w:line="276" w:lineRule="auto"/>
        <w:rPr>
          <w:rFonts w:ascii="Arial" w:hAnsi="Arial" w:cs="Arial"/>
          <w:b/>
          <w:color w:val="auto"/>
          <w:sz w:val="24"/>
        </w:rPr>
      </w:pPr>
      <w:r w:rsidRPr="001934E3">
        <w:rPr>
          <w:rFonts w:ascii="Arial" w:hAnsi="Arial" w:cs="Arial"/>
          <w:color w:val="auto"/>
          <w:sz w:val="24"/>
        </w:rPr>
        <w:t xml:space="preserve">How does this case study relate to my field and major? </w:t>
      </w:r>
    </w:p>
    <w:p w:rsidR="001F01A1" w:rsidRPr="001934E3" w:rsidRDefault="001F01A1" w:rsidP="00F84990">
      <w:pPr>
        <w:pStyle w:val="Box"/>
        <w:numPr>
          <w:ilvl w:val="0"/>
          <w:numId w:val="11"/>
        </w:numPr>
        <w:spacing w:after="120" w:line="276" w:lineRule="auto"/>
        <w:rPr>
          <w:rFonts w:ascii="Arial" w:hAnsi="Arial" w:cs="Arial"/>
          <w:b/>
          <w:color w:val="auto"/>
          <w:sz w:val="24"/>
        </w:rPr>
      </w:pPr>
      <w:r w:rsidRPr="001934E3">
        <w:rPr>
          <w:rFonts w:ascii="Arial" w:hAnsi="Arial" w:cs="Arial"/>
          <w:color w:val="auto"/>
          <w:sz w:val="24"/>
        </w:rPr>
        <w:t>How could the actors in this case study have learned about the social context of the community they were working in? In what ways do you think understanding the social context would have changed the outcome of the project?</w:t>
      </w:r>
    </w:p>
    <w:p w:rsidR="001F01A1" w:rsidRPr="001934E3" w:rsidRDefault="003D27B3" w:rsidP="00F84990">
      <w:pPr>
        <w:pStyle w:val="Box"/>
        <w:numPr>
          <w:ilvl w:val="0"/>
          <w:numId w:val="11"/>
        </w:numPr>
        <w:spacing w:after="120" w:line="276" w:lineRule="auto"/>
        <w:rPr>
          <w:rFonts w:ascii="Arial" w:hAnsi="Arial" w:cs="Arial"/>
          <w:b/>
          <w:color w:val="auto"/>
          <w:sz w:val="24"/>
        </w:rPr>
      </w:pPr>
      <w:r>
        <w:rPr>
          <w:rFonts w:ascii="Arial" w:hAnsi="Arial" w:cs="Arial"/>
          <w:color w:val="auto"/>
          <w:sz w:val="24"/>
        </w:rPr>
        <w:t>In this case study, h</w:t>
      </w:r>
      <w:r w:rsidR="001F01A1" w:rsidRPr="001934E3">
        <w:rPr>
          <w:rFonts w:ascii="Arial" w:hAnsi="Arial" w:cs="Arial"/>
          <w:color w:val="auto"/>
          <w:sz w:val="24"/>
        </w:rPr>
        <w:t xml:space="preserve">ow </w:t>
      </w:r>
      <w:r>
        <w:rPr>
          <w:rFonts w:ascii="Arial" w:hAnsi="Arial" w:cs="Arial"/>
          <w:color w:val="auto"/>
          <w:sz w:val="24"/>
        </w:rPr>
        <w:t xml:space="preserve">does </w:t>
      </w:r>
      <w:r w:rsidR="001F01A1" w:rsidRPr="001934E3">
        <w:rPr>
          <w:rFonts w:ascii="Arial" w:hAnsi="Arial" w:cs="Arial"/>
          <w:color w:val="auto"/>
          <w:sz w:val="24"/>
        </w:rPr>
        <w:t xml:space="preserve">social context relate to </w:t>
      </w:r>
      <w:r>
        <w:rPr>
          <w:rFonts w:ascii="Arial" w:hAnsi="Arial" w:cs="Arial"/>
          <w:color w:val="auto"/>
          <w:sz w:val="24"/>
        </w:rPr>
        <w:t xml:space="preserve">the </w:t>
      </w:r>
      <w:r w:rsidR="001F01A1" w:rsidRPr="001934E3">
        <w:rPr>
          <w:rFonts w:ascii="Arial" w:hAnsi="Arial" w:cs="Arial"/>
          <w:color w:val="auto"/>
          <w:sz w:val="24"/>
        </w:rPr>
        <w:t>overall sustainab</w:t>
      </w:r>
      <w:r>
        <w:rPr>
          <w:rFonts w:ascii="Arial" w:hAnsi="Arial" w:cs="Arial"/>
          <w:color w:val="auto"/>
          <w:sz w:val="24"/>
        </w:rPr>
        <w:t>ility</w:t>
      </w:r>
      <w:r w:rsidR="001F01A1" w:rsidRPr="001934E3">
        <w:rPr>
          <w:rFonts w:ascii="Arial" w:hAnsi="Arial" w:cs="Arial"/>
          <w:color w:val="auto"/>
          <w:sz w:val="24"/>
        </w:rPr>
        <w:t xml:space="preserve"> of </w:t>
      </w:r>
      <w:r>
        <w:rPr>
          <w:rFonts w:ascii="Arial" w:hAnsi="Arial" w:cs="Arial"/>
          <w:color w:val="auto"/>
          <w:sz w:val="24"/>
        </w:rPr>
        <w:t xml:space="preserve">the </w:t>
      </w:r>
      <w:r w:rsidR="001F01A1" w:rsidRPr="001934E3">
        <w:rPr>
          <w:rFonts w:ascii="Arial" w:hAnsi="Arial" w:cs="Arial"/>
          <w:color w:val="auto"/>
          <w:sz w:val="24"/>
        </w:rPr>
        <w:t>project and</w:t>
      </w:r>
      <w:r>
        <w:rPr>
          <w:rFonts w:ascii="Arial" w:hAnsi="Arial" w:cs="Arial"/>
          <w:color w:val="auto"/>
          <w:sz w:val="24"/>
        </w:rPr>
        <w:t xml:space="preserve">/or </w:t>
      </w:r>
      <w:r w:rsidR="001F01A1" w:rsidRPr="001934E3">
        <w:rPr>
          <w:rFonts w:ascii="Arial" w:hAnsi="Arial" w:cs="Arial"/>
          <w:color w:val="auto"/>
          <w:sz w:val="24"/>
        </w:rPr>
        <w:t>community</w:t>
      </w:r>
      <w:r>
        <w:rPr>
          <w:rFonts w:ascii="Arial" w:hAnsi="Arial" w:cs="Arial"/>
          <w:color w:val="auto"/>
          <w:sz w:val="24"/>
        </w:rPr>
        <w:t xml:space="preserve"> in question</w:t>
      </w:r>
      <w:r w:rsidR="001F01A1" w:rsidRPr="001934E3">
        <w:rPr>
          <w:rFonts w:ascii="Arial" w:hAnsi="Arial" w:cs="Arial"/>
          <w:color w:val="auto"/>
          <w:sz w:val="24"/>
        </w:rPr>
        <w:t xml:space="preserve">? </w:t>
      </w:r>
    </w:p>
    <w:p w:rsidR="001F01A1" w:rsidRPr="001934E3" w:rsidRDefault="003D27B3" w:rsidP="00F84990">
      <w:pPr>
        <w:pStyle w:val="Box"/>
        <w:numPr>
          <w:ilvl w:val="0"/>
          <w:numId w:val="11"/>
        </w:numPr>
        <w:spacing w:after="120" w:line="276" w:lineRule="auto"/>
        <w:rPr>
          <w:rFonts w:ascii="Arial" w:hAnsi="Arial" w:cs="Arial"/>
          <w:b/>
          <w:color w:val="auto"/>
          <w:sz w:val="24"/>
        </w:rPr>
      </w:pPr>
      <w:r>
        <w:rPr>
          <w:rFonts w:ascii="Arial" w:hAnsi="Arial" w:cs="Arial"/>
          <w:color w:val="auto"/>
          <w:sz w:val="24"/>
        </w:rPr>
        <w:t xml:space="preserve">When you design projects, they impact/will impact the communities in which you work. </w:t>
      </w:r>
      <w:r w:rsidR="001F01A1" w:rsidRPr="001934E3">
        <w:rPr>
          <w:rFonts w:ascii="Arial" w:hAnsi="Arial" w:cs="Arial"/>
          <w:color w:val="auto"/>
          <w:sz w:val="24"/>
        </w:rPr>
        <w:t xml:space="preserve">How would understanding gender inequality and gender roles in a community help your work in </w:t>
      </w:r>
      <w:r>
        <w:rPr>
          <w:rFonts w:ascii="Arial" w:hAnsi="Arial" w:cs="Arial"/>
          <w:color w:val="auto"/>
          <w:sz w:val="24"/>
        </w:rPr>
        <w:t xml:space="preserve">that </w:t>
      </w:r>
      <w:r w:rsidR="001F01A1" w:rsidRPr="001934E3">
        <w:rPr>
          <w:rFonts w:ascii="Arial" w:hAnsi="Arial" w:cs="Arial"/>
          <w:color w:val="auto"/>
          <w:sz w:val="24"/>
        </w:rPr>
        <w:t xml:space="preserve">community? How would understanding race and its influence and effects on a community help your work in </w:t>
      </w:r>
      <w:r>
        <w:rPr>
          <w:rFonts w:ascii="Arial" w:hAnsi="Arial" w:cs="Arial"/>
          <w:color w:val="auto"/>
          <w:sz w:val="24"/>
        </w:rPr>
        <w:t xml:space="preserve">that </w:t>
      </w:r>
      <w:r w:rsidR="001F01A1" w:rsidRPr="001934E3">
        <w:rPr>
          <w:rFonts w:ascii="Arial" w:hAnsi="Arial" w:cs="Arial"/>
          <w:color w:val="auto"/>
          <w:sz w:val="24"/>
        </w:rPr>
        <w:t xml:space="preserve">community? </w:t>
      </w:r>
      <w:r w:rsidR="008F5EB2">
        <w:rPr>
          <w:rFonts w:ascii="Arial" w:hAnsi="Arial" w:cs="Arial"/>
          <w:color w:val="auto"/>
          <w:sz w:val="24"/>
        </w:rPr>
        <w:t xml:space="preserve">What about socioeconomics/education/disability? </w:t>
      </w:r>
    </w:p>
    <w:p w:rsidR="001F01A1" w:rsidRPr="001934E3" w:rsidRDefault="00A72394" w:rsidP="00F84990">
      <w:pPr>
        <w:pStyle w:val="Box"/>
        <w:spacing w:before="240" w:after="120" w:line="276" w:lineRule="auto"/>
        <w:rPr>
          <w:rFonts w:ascii="Arial" w:hAnsi="Arial" w:cs="Arial"/>
          <w:color w:val="auto"/>
          <w:sz w:val="24"/>
        </w:rPr>
      </w:pPr>
      <w:r w:rsidRPr="00A72394">
        <w:rPr>
          <w:rFonts w:ascii="Arial" w:hAnsi="Arial" w:cs="Arial"/>
          <w:b/>
          <w:color w:val="auto"/>
          <w:sz w:val="24"/>
        </w:rPr>
        <w:t>PART IV</w:t>
      </w:r>
      <w:r>
        <w:rPr>
          <w:rFonts w:ascii="Arial" w:hAnsi="Arial" w:cs="Arial"/>
          <w:b/>
          <w:color w:val="auto"/>
          <w:sz w:val="24"/>
        </w:rPr>
        <w:t xml:space="preserve"> (15 </w:t>
      </w:r>
      <w:r w:rsidR="000D70FE">
        <w:rPr>
          <w:rFonts w:ascii="Arial" w:hAnsi="Arial" w:cs="Arial"/>
          <w:b/>
          <w:color w:val="auto"/>
          <w:sz w:val="24"/>
        </w:rPr>
        <w:t>minutes) *</w:t>
      </w:r>
      <w:r w:rsidRPr="00A72394">
        <w:rPr>
          <w:rFonts w:ascii="Arial" w:hAnsi="Arial" w:cs="Arial"/>
          <w:b/>
          <w:color w:val="auto"/>
          <w:sz w:val="24"/>
        </w:rPr>
        <w:t>:</w:t>
      </w:r>
      <w:r>
        <w:rPr>
          <w:rFonts w:ascii="Arial" w:hAnsi="Arial" w:cs="Arial"/>
          <w:color w:val="auto"/>
          <w:sz w:val="24"/>
        </w:rPr>
        <w:t xml:space="preserve"> </w:t>
      </w:r>
      <w:r w:rsidR="001934E3">
        <w:rPr>
          <w:rFonts w:ascii="Arial" w:hAnsi="Arial" w:cs="Arial"/>
          <w:color w:val="auto"/>
          <w:sz w:val="24"/>
        </w:rPr>
        <w:t>Ask students to read through case study you selected</w:t>
      </w:r>
      <w:r w:rsidR="008F5EB2">
        <w:rPr>
          <w:rFonts w:ascii="Arial" w:hAnsi="Arial" w:cs="Arial"/>
          <w:color w:val="auto"/>
          <w:sz w:val="24"/>
        </w:rPr>
        <w:t xml:space="preserve"> from the third category</w:t>
      </w:r>
      <w:r w:rsidR="001F01A1" w:rsidRPr="001934E3">
        <w:rPr>
          <w:rFonts w:ascii="Arial" w:hAnsi="Arial" w:cs="Arial"/>
          <w:color w:val="auto"/>
          <w:sz w:val="24"/>
        </w:rPr>
        <w:t>. After students have read the case study, ask the following questions, allowing thorough discussion between questions</w:t>
      </w:r>
      <w:r w:rsidR="003D27B3">
        <w:rPr>
          <w:rFonts w:ascii="Arial" w:hAnsi="Arial" w:cs="Arial"/>
          <w:color w:val="auto"/>
          <w:sz w:val="24"/>
        </w:rPr>
        <w:t>:</w:t>
      </w:r>
    </w:p>
    <w:p w:rsidR="00CC1DC2" w:rsidRDefault="001F01A1" w:rsidP="00F84990">
      <w:pPr>
        <w:pStyle w:val="Box"/>
        <w:numPr>
          <w:ilvl w:val="0"/>
          <w:numId w:val="12"/>
        </w:numPr>
        <w:spacing w:after="120" w:line="276" w:lineRule="auto"/>
        <w:rPr>
          <w:rFonts w:ascii="Arial" w:hAnsi="Arial" w:cs="Arial"/>
          <w:color w:val="auto"/>
          <w:sz w:val="24"/>
        </w:rPr>
      </w:pPr>
      <w:r w:rsidRPr="001934E3">
        <w:rPr>
          <w:rFonts w:ascii="Arial" w:hAnsi="Arial" w:cs="Arial"/>
          <w:color w:val="auto"/>
          <w:sz w:val="24"/>
        </w:rPr>
        <w:t xml:space="preserve">How did the actors in this case study learn the social context of this community? </w:t>
      </w:r>
    </w:p>
    <w:p w:rsidR="001F01A1" w:rsidRPr="001934E3" w:rsidRDefault="001F01A1" w:rsidP="00F84990">
      <w:pPr>
        <w:pStyle w:val="Box"/>
        <w:numPr>
          <w:ilvl w:val="0"/>
          <w:numId w:val="12"/>
        </w:numPr>
        <w:spacing w:after="120" w:line="276" w:lineRule="auto"/>
        <w:rPr>
          <w:rFonts w:ascii="Arial" w:hAnsi="Arial" w:cs="Arial"/>
          <w:color w:val="auto"/>
          <w:sz w:val="24"/>
        </w:rPr>
      </w:pPr>
      <w:r w:rsidRPr="001934E3">
        <w:rPr>
          <w:rFonts w:ascii="Arial" w:hAnsi="Arial" w:cs="Arial"/>
          <w:color w:val="auto"/>
          <w:sz w:val="24"/>
        </w:rPr>
        <w:t>How did they apply their knowledge of the social, economic, and/or environmental context to the project in the case study?</w:t>
      </w:r>
    </w:p>
    <w:p w:rsidR="001F01A1" w:rsidRPr="001934E3" w:rsidRDefault="001F01A1" w:rsidP="00F84990">
      <w:pPr>
        <w:pStyle w:val="Box"/>
        <w:numPr>
          <w:ilvl w:val="0"/>
          <w:numId w:val="12"/>
        </w:numPr>
        <w:spacing w:after="120" w:line="276" w:lineRule="auto"/>
        <w:rPr>
          <w:rFonts w:ascii="Arial" w:hAnsi="Arial" w:cs="Arial"/>
          <w:color w:val="auto"/>
          <w:sz w:val="24"/>
        </w:rPr>
      </w:pPr>
      <w:r w:rsidRPr="001934E3">
        <w:rPr>
          <w:rFonts w:ascii="Arial" w:hAnsi="Arial" w:cs="Arial"/>
          <w:color w:val="auto"/>
          <w:sz w:val="24"/>
        </w:rPr>
        <w:t xml:space="preserve">In what ways can you consider social context in projects you work on now or in the future? </w:t>
      </w:r>
    </w:p>
    <w:p w:rsidR="001F01A1" w:rsidRPr="001934E3" w:rsidRDefault="001F01A1" w:rsidP="00F84990">
      <w:pPr>
        <w:pStyle w:val="Box"/>
        <w:numPr>
          <w:ilvl w:val="0"/>
          <w:numId w:val="12"/>
        </w:numPr>
        <w:spacing w:after="240" w:line="276" w:lineRule="auto"/>
        <w:rPr>
          <w:rFonts w:ascii="Arial" w:hAnsi="Arial" w:cs="Arial"/>
          <w:color w:val="auto"/>
          <w:sz w:val="24"/>
        </w:rPr>
      </w:pPr>
      <w:r w:rsidRPr="001934E3">
        <w:rPr>
          <w:rFonts w:ascii="Arial" w:hAnsi="Arial" w:cs="Arial"/>
          <w:color w:val="auto"/>
          <w:sz w:val="24"/>
        </w:rPr>
        <w:t xml:space="preserve">Why is it important to understand social, economic, and/or environmental context to projects you work on? What are your obligations to the community in which you operate? </w:t>
      </w:r>
    </w:p>
    <w:p w:rsidR="00777C71" w:rsidRDefault="00A72394" w:rsidP="00F84990">
      <w:pPr>
        <w:pStyle w:val="Box"/>
        <w:spacing w:after="120" w:line="276" w:lineRule="auto"/>
        <w:rPr>
          <w:rFonts w:ascii="Arial" w:hAnsi="Arial" w:cs="Arial"/>
          <w:color w:val="auto"/>
          <w:sz w:val="24"/>
        </w:rPr>
      </w:pPr>
      <w:r w:rsidRPr="00A72394">
        <w:rPr>
          <w:rFonts w:ascii="Arial" w:hAnsi="Arial" w:cs="Arial"/>
          <w:color w:val="auto"/>
          <w:sz w:val="24"/>
        </w:rPr>
        <w:t xml:space="preserve">* Note: The timeframe </w:t>
      </w:r>
      <w:r w:rsidR="003D27B3">
        <w:rPr>
          <w:rFonts w:ascii="Arial" w:hAnsi="Arial" w:cs="Arial"/>
          <w:color w:val="auto"/>
          <w:sz w:val="24"/>
        </w:rPr>
        <w:t xml:space="preserve">for this activity </w:t>
      </w:r>
      <w:r w:rsidRPr="00A72394">
        <w:rPr>
          <w:rFonts w:ascii="Arial" w:hAnsi="Arial" w:cs="Arial"/>
          <w:color w:val="auto"/>
          <w:sz w:val="24"/>
        </w:rPr>
        <w:t>is based on the assumption that reading each case study will take about five minutes, with discussion taking about 10 minutes. If, however, you select videos, bear in mind this will increase the activity length respective to the video length.</w:t>
      </w:r>
    </w:p>
    <w:p w:rsidR="00777C71" w:rsidRDefault="00777C71" w:rsidP="00F84990">
      <w:pPr>
        <w:pStyle w:val="Heading1"/>
        <w:spacing w:after="240" w:line="276" w:lineRule="auto"/>
        <w:rPr>
          <w:rFonts w:ascii="Arial" w:eastAsiaTheme="minorHAnsi" w:hAnsi="Arial" w:cs="Arial"/>
          <w:color w:val="auto"/>
          <w:sz w:val="24"/>
          <w:szCs w:val="24"/>
        </w:rPr>
      </w:pPr>
    </w:p>
    <w:p w:rsidR="000E328B" w:rsidRDefault="000E328B" w:rsidP="00777C71"/>
    <w:p w:rsidR="000E328B" w:rsidRDefault="000E328B" w:rsidP="00777C71"/>
    <w:p w:rsidR="000E328B" w:rsidRDefault="000E328B" w:rsidP="00777C71"/>
    <w:p w:rsidR="000E328B" w:rsidRDefault="000E328B" w:rsidP="00777C71"/>
    <w:p w:rsidR="00777C71" w:rsidRPr="00777C71" w:rsidRDefault="00777C71" w:rsidP="00777C71"/>
    <w:p w:rsidR="001F01A1" w:rsidRPr="006271DC" w:rsidRDefault="00A72394" w:rsidP="00F84990">
      <w:pPr>
        <w:pStyle w:val="Heading1"/>
        <w:spacing w:after="240" w:line="276" w:lineRule="auto"/>
        <w:rPr>
          <w:rFonts w:ascii="Georgia" w:hAnsi="Georgia"/>
          <w:b/>
          <w:color w:val="auto"/>
        </w:rPr>
      </w:pPr>
      <w:r w:rsidRPr="006271DC">
        <w:rPr>
          <w:rFonts w:ascii="Georgia" w:hAnsi="Georgia"/>
          <w:b/>
          <w:color w:val="auto"/>
        </w:rPr>
        <w:t xml:space="preserve">Take-Home </w:t>
      </w:r>
      <w:r w:rsidR="001F01A1" w:rsidRPr="006271DC">
        <w:rPr>
          <w:rFonts w:ascii="Georgia" w:hAnsi="Georgia"/>
          <w:b/>
          <w:color w:val="auto"/>
        </w:rPr>
        <w:t xml:space="preserve">Writing </w:t>
      </w:r>
      <w:r w:rsidRPr="006271DC">
        <w:rPr>
          <w:rFonts w:ascii="Georgia" w:hAnsi="Georgia"/>
          <w:b/>
          <w:color w:val="auto"/>
        </w:rPr>
        <w:t xml:space="preserve">Assignment </w:t>
      </w:r>
    </w:p>
    <w:p w:rsidR="00A72394" w:rsidRPr="001934E3" w:rsidRDefault="00A72394" w:rsidP="00F84990">
      <w:pPr>
        <w:pStyle w:val="Box"/>
        <w:spacing w:after="120" w:line="276" w:lineRule="auto"/>
        <w:rPr>
          <w:rFonts w:ascii="Arial" w:hAnsi="Arial" w:cs="Arial"/>
          <w:color w:val="auto"/>
          <w:sz w:val="24"/>
        </w:rPr>
      </w:pPr>
      <w:r w:rsidRPr="001934E3">
        <w:rPr>
          <w:rFonts w:ascii="Arial" w:hAnsi="Arial" w:cs="Arial"/>
          <w:b/>
          <w:color w:val="auto"/>
          <w:sz w:val="24"/>
        </w:rPr>
        <w:t>PART I:</w:t>
      </w:r>
      <w:r>
        <w:rPr>
          <w:rFonts w:ascii="Arial" w:hAnsi="Arial" w:cs="Arial"/>
          <w:color w:val="auto"/>
          <w:sz w:val="24"/>
        </w:rPr>
        <w:t xml:space="preserve"> </w:t>
      </w:r>
      <w:r w:rsidRPr="001934E3">
        <w:rPr>
          <w:rFonts w:ascii="Arial" w:hAnsi="Arial" w:cs="Arial"/>
          <w:color w:val="auto"/>
          <w:sz w:val="24"/>
        </w:rPr>
        <w:t xml:space="preserve">The </w:t>
      </w:r>
      <w:r w:rsidR="00273B96">
        <w:rPr>
          <w:rFonts w:ascii="Arial" w:hAnsi="Arial" w:cs="Arial"/>
          <w:color w:val="auto"/>
          <w:sz w:val="24"/>
        </w:rPr>
        <w:t>case studies are</w:t>
      </w:r>
      <w:r w:rsidRPr="001934E3">
        <w:rPr>
          <w:rFonts w:ascii="Arial" w:hAnsi="Arial" w:cs="Arial"/>
          <w:color w:val="auto"/>
          <w:sz w:val="24"/>
        </w:rPr>
        <w:t xml:space="preserve"> divided into three sections:</w:t>
      </w:r>
    </w:p>
    <w:p w:rsidR="008F5EB2" w:rsidRDefault="008F5EB2" w:rsidP="008F5EB2">
      <w:pPr>
        <w:pStyle w:val="Box"/>
        <w:numPr>
          <w:ilvl w:val="0"/>
          <w:numId w:val="16"/>
        </w:numPr>
        <w:spacing w:after="120" w:line="276" w:lineRule="auto"/>
        <w:rPr>
          <w:rFonts w:ascii="Arial" w:hAnsi="Arial" w:cs="Arial"/>
          <w:color w:val="auto"/>
          <w:sz w:val="24"/>
        </w:rPr>
      </w:pPr>
      <w:r w:rsidRPr="004E3825">
        <w:rPr>
          <w:rFonts w:ascii="Arial" w:hAnsi="Arial" w:cs="Arial"/>
          <w:color w:val="auto"/>
          <w:sz w:val="24"/>
        </w:rPr>
        <w:t xml:space="preserve">situations where entities use social context and power structures to exploit </w:t>
      </w:r>
      <w:r>
        <w:rPr>
          <w:rFonts w:ascii="Arial" w:hAnsi="Arial" w:cs="Arial"/>
          <w:color w:val="auto"/>
          <w:sz w:val="24"/>
        </w:rPr>
        <w:t xml:space="preserve">a </w:t>
      </w:r>
      <w:r w:rsidRPr="004E3825">
        <w:rPr>
          <w:rFonts w:ascii="Arial" w:hAnsi="Arial" w:cs="Arial"/>
          <w:color w:val="auto"/>
          <w:sz w:val="24"/>
        </w:rPr>
        <w:t xml:space="preserve">population; </w:t>
      </w:r>
    </w:p>
    <w:p w:rsidR="008F5EB2" w:rsidRDefault="008F5EB2" w:rsidP="008F5EB2">
      <w:pPr>
        <w:pStyle w:val="Box"/>
        <w:numPr>
          <w:ilvl w:val="0"/>
          <w:numId w:val="16"/>
        </w:numPr>
        <w:spacing w:after="120" w:line="276" w:lineRule="auto"/>
        <w:rPr>
          <w:rFonts w:ascii="Arial" w:hAnsi="Arial" w:cs="Arial"/>
          <w:color w:val="auto"/>
          <w:sz w:val="24"/>
        </w:rPr>
      </w:pPr>
      <w:r w:rsidRPr="004E3825">
        <w:rPr>
          <w:rFonts w:ascii="Arial" w:hAnsi="Arial" w:cs="Arial"/>
          <w:color w:val="auto"/>
          <w:sz w:val="24"/>
        </w:rPr>
        <w:t>situations where projects fail by not accounting for the social context of a community</w:t>
      </w:r>
      <w:r>
        <w:rPr>
          <w:rFonts w:ascii="Arial" w:hAnsi="Arial" w:cs="Arial"/>
          <w:color w:val="auto"/>
          <w:sz w:val="24"/>
        </w:rPr>
        <w:t>;</w:t>
      </w:r>
      <w:r w:rsidRPr="004E3825">
        <w:rPr>
          <w:rFonts w:ascii="Arial" w:hAnsi="Arial" w:cs="Arial"/>
          <w:color w:val="auto"/>
          <w:sz w:val="24"/>
        </w:rPr>
        <w:t xml:space="preserve"> and</w:t>
      </w:r>
    </w:p>
    <w:p w:rsidR="008F5EB2" w:rsidRDefault="008F5EB2" w:rsidP="008F5EB2">
      <w:pPr>
        <w:pStyle w:val="Box"/>
        <w:numPr>
          <w:ilvl w:val="0"/>
          <w:numId w:val="16"/>
        </w:numPr>
        <w:spacing w:after="120" w:line="276" w:lineRule="auto"/>
        <w:rPr>
          <w:rFonts w:ascii="Arial" w:hAnsi="Arial" w:cs="Arial"/>
          <w:color w:val="auto"/>
          <w:sz w:val="24"/>
        </w:rPr>
      </w:pPr>
      <w:r w:rsidRPr="004E3825">
        <w:rPr>
          <w:rFonts w:ascii="Arial" w:hAnsi="Arial" w:cs="Arial"/>
          <w:color w:val="auto"/>
          <w:sz w:val="24"/>
        </w:rPr>
        <w:t>situations where projects succeed by accounting for the social context of a community.</w:t>
      </w:r>
      <w:r w:rsidRPr="00F7314C">
        <w:rPr>
          <w:rFonts w:ascii="Arial" w:hAnsi="Arial" w:cs="Arial"/>
          <w:color w:val="auto"/>
          <w:sz w:val="24"/>
        </w:rPr>
        <w:t xml:space="preserve"> </w:t>
      </w:r>
    </w:p>
    <w:p w:rsidR="00A72394" w:rsidRPr="001934E3" w:rsidRDefault="00A72394" w:rsidP="00F84990">
      <w:pPr>
        <w:pStyle w:val="Box"/>
        <w:spacing w:after="240" w:line="276" w:lineRule="auto"/>
        <w:rPr>
          <w:rFonts w:ascii="Arial" w:hAnsi="Arial" w:cs="Arial"/>
          <w:color w:val="auto"/>
          <w:sz w:val="24"/>
        </w:rPr>
      </w:pPr>
      <w:r>
        <w:rPr>
          <w:rFonts w:ascii="Arial" w:hAnsi="Arial" w:cs="Arial"/>
          <w:color w:val="auto"/>
          <w:sz w:val="24"/>
        </w:rPr>
        <w:t>Based upon the subjects which overlap with your class, s</w:t>
      </w:r>
      <w:r w:rsidRPr="001934E3">
        <w:rPr>
          <w:rFonts w:ascii="Arial" w:hAnsi="Arial" w:cs="Arial"/>
          <w:color w:val="auto"/>
          <w:sz w:val="24"/>
        </w:rPr>
        <w:t xml:space="preserve">elect a case study (or video) from each category for a total of </w:t>
      </w:r>
      <w:r w:rsidR="008F5EB2">
        <w:rPr>
          <w:rFonts w:ascii="Arial" w:hAnsi="Arial" w:cs="Arial"/>
          <w:color w:val="auto"/>
          <w:sz w:val="24"/>
        </w:rPr>
        <w:t>three</w:t>
      </w:r>
      <w:r w:rsidRPr="001934E3">
        <w:rPr>
          <w:rFonts w:ascii="Arial" w:hAnsi="Arial" w:cs="Arial"/>
          <w:color w:val="auto"/>
          <w:sz w:val="24"/>
        </w:rPr>
        <w:t xml:space="preserve"> readings or videos. </w:t>
      </w:r>
      <w:r>
        <w:rPr>
          <w:rFonts w:ascii="Arial" w:hAnsi="Arial" w:cs="Arial"/>
          <w:color w:val="auto"/>
          <w:sz w:val="24"/>
        </w:rPr>
        <w:t xml:space="preserve">Assign these readings/videos to your students </w:t>
      </w:r>
      <w:r w:rsidR="007E1C94">
        <w:rPr>
          <w:rFonts w:ascii="Arial" w:hAnsi="Arial" w:cs="Arial"/>
          <w:color w:val="auto"/>
          <w:sz w:val="24"/>
        </w:rPr>
        <w:t xml:space="preserve">and accompany them with the writing prompt below. </w:t>
      </w:r>
      <w:r w:rsidR="00482DCD">
        <w:rPr>
          <w:rFonts w:ascii="Arial" w:hAnsi="Arial" w:cs="Arial"/>
          <w:color w:val="auto"/>
          <w:sz w:val="24"/>
        </w:rPr>
        <w:t>You may also wish to assign students the discussion questions above as a brainstorming, blogging, or more formal writing activity.</w:t>
      </w:r>
    </w:p>
    <w:p w:rsidR="00A72394" w:rsidRPr="007E1C94" w:rsidRDefault="003D27B3" w:rsidP="00F84990">
      <w:pPr>
        <w:spacing w:line="276" w:lineRule="auto"/>
        <w:rPr>
          <w:rFonts w:ascii="Arial" w:hAnsi="Arial" w:cs="Arial"/>
          <w:b/>
        </w:rPr>
      </w:pPr>
      <w:r>
        <w:rPr>
          <w:rFonts w:ascii="Arial" w:hAnsi="Arial" w:cs="Arial"/>
          <w:b/>
        </w:rPr>
        <w:t>Writing Prompt</w:t>
      </w:r>
      <w:r w:rsidR="007E1C94">
        <w:rPr>
          <w:rFonts w:ascii="Arial" w:hAnsi="Arial" w:cs="Arial"/>
          <w:b/>
        </w:rPr>
        <w:t xml:space="preserve">: </w:t>
      </w:r>
      <w:r w:rsidR="001F01A1" w:rsidRPr="00A72394">
        <w:rPr>
          <w:rFonts w:ascii="Arial" w:hAnsi="Arial" w:cs="Arial"/>
        </w:rPr>
        <w:t>Write 500 words on the relevance of social context to successfully and ethically complet</w:t>
      </w:r>
      <w:r>
        <w:rPr>
          <w:rFonts w:ascii="Arial" w:hAnsi="Arial" w:cs="Arial"/>
        </w:rPr>
        <w:t>ing</w:t>
      </w:r>
      <w:r w:rsidR="001F01A1" w:rsidRPr="00A72394">
        <w:rPr>
          <w:rFonts w:ascii="Arial" w:hAnsi="Arial" w:cs="Arial"/>
        </w:rPr>
        <w:t xml:space="preserve"> a project in your field. What are your obligations to the community in which you operate? What are some of the components of a community that a project team</w:t>
      </w:r>
      <w:r>
        <w:rPr>
          <w:rFonts w:ascii="Arial" w:hAnsi="Arial" w:cs="Arial"/>
        </w:rPr>
        <w:t xml:space="preserve"> needs to understand</w:t>
      </w:r>
      <w:r w:rsidR="001F01A1" w:rsidRPr="00A72394">
        <w:rPr>
          <w:rFonts w:ascii="Arial" w:hAnsi="Arial" w:cs="Arial"/>
        </w:rPr>
        <w:t xml:space="preserve">? What are the economic, demographic, and environmental conditions which </w:t>
      </w:r>
      <w:r>
        <w:rPr>
          <w:rFonts w:ascii="Arial" w:hAnsi="Arial" w:cs="Arial"/>
        </w:rPr>
        <w:t xml:space="preserve">project teams </w:t>
      </w:r>
      <w:r w:rsidR="001F01A1" w:rsidRPr="00A72394">
        <w:rPr>
          <w:rFonts w:ascii="Arial" w:hAnsi="Arial" w:cs="Arial"/>
        </w:rPr>
        <w:t xml:space="preserve">should </w:t>
      </w:r>
      <w:r>
        <w:rPr>
          <w:rFonts w:ascii="Arial" w:hAnsi="Arial" w:cs="Arial"/>
        </w:rPr>
        <w:t xml:space="preserve">consider </w:t>
      </w:r>
      <w:r w:rsidR="001F01A1" w:rsidRPr="00A72394">
        <w:rPr>
          <w:rFonts w:ascii="Arial" w:hAnsi="Arial" w:cs="Arial"/>
        </w:rPr>
        <w:t xml:space="preserve">when planning and implementing a project in a community? What aspects of gender equality, racial justice, and community health should </w:t>
      </w:r>
      <w:r>
        <w:rPr>
          <w:rFonts w:ascii="Arial" w:hAnsi="Arial" w:cs="Arial"/>
        </w:rPr>
        <w:t xml:space="preserve">project teams consider </w:t>
      </w:r>
      <w:r w:rsidR="001F01A1" w:rsidRPr="00A72394">
        <w:rPr>
          <w:rFonts w:ascii="Arial" w:hAnsi="Arial" w:cs="Arial"/>
        </w:rPr>
        <w:t xml:space="preserve">when designing or helping to design a project for a community? </w:t>
      </w:r>
    </w:p>
    <w:p w:rsidR="00A72394" w:rsidRDefault="00A72394" w:rsidP="00F84990">
      <w:pPr>
        <w:spacing w:line="276" w:lineRule="auto"/>
        <w:rPr>
          <w:rFonts w:ascii="Arial" w:hAnsi="Arial" w:cs="Arial"/>
          <w:i/>
        </w:rPr>
      </w:pPr>
    </w:p>
    <w:p w:rsidR="00A35291" w:rsidRPr="00482DCD" w:rsidRDefault="001F01A1" w:rsidP="00482DCD">
      <w:pPr>
        <w:spacing w:line="276" w:lineRule="auto"/>
        <w:rPr>
          <w:rFonts w:ascii="Georgia" w:hAnsi="Georgia" w:cs="Arial"/>
          <w:sz w:val="40"/>
          <w:szCs w:val="40"/>
          <w:u w:val="single"/>
        </w:rPr>
      </w:pPr>
      <w:r w:rsidRPr="00A72394">
        <w:rPr>
          <w:rFonts w:ascii="Georgia" w:hAnsi="Georgia" w:cs="Arial"/>
          <w:sz w:val="40"/>
          <w:szCs w:val="40"/>
        </w:rPr>
        <w:br w:type="page"/>
      </w:r>
      <w:r w:rsidR="008B19C0">
        <w:rPr>
          <w:rFonts w:ascii="Georgia" w:hAnsi="Georgia" w:cs="Arial"/>
          <w:sz w:val="40"/>
          <w:szCs w:val="40"/>
          <w:u w:val="single"/>
        </w:rPr>
        <w:t>Mini-Case Studies</w:t>
      </w:r>
      <w:r w:rsidR="00971C72" w:rsidRPr="00482DCD">
        <w:rPr>
          <w:rFonts w:ascii="Georgia" w:hAnsi="Georgia" w:cs="Arial"/>
          <w:sz w:val="40"/>
          <w:szCs w:val="40"/>
          <w:u w:val="single"/>
        </w:rPr>
        <w:t xml:space="preserve"> </w:t>
      </w:r>
    </w:p>
    <w:p w:rsidR="008F5EB2" w:rsidRPr="008F5EB2" w:rsidRDefault="008F5EB2" w:rsidP="008F5EB2">
      <w:pPr>
        <w:pStyle w:val="Heading1"/>
        <w:spacing w:after="360" w:line="276" w:lineRule="auto"/>
        <w:rPr>
          <w:rFonts w:ascii="Georgia" w:hAnsi="Georgia"/>
          <w:b/>
          <w:color w:val="auto"/>
        </w:rPr>
      </w:pPr>
      <w:bookmarkStart w:id="1" w:name="_Hlk526157704"/>
      <w:r>
        <w:rPr>
          <w:rFonts w:ascii="Georgia" w:hAnsi="Georgia"/>
          <w:b/>
          <w:color w:val="auto"/>
        </w:rPr>
        <w:t xml:space="preserve">Category 1: </w:t>
      </w:r>
      <w:r w:rsidRPr="008F5EB2">
        <w:rPr>
          <w:rFonts w:ascii="Georgia" w:hAnsi="Georgia"/>
          <w:b/>
          <w:color w:val="auto"/>
        </w:rPr>
        <w:t>Situations where entities</w:t>
      </w:r>
      <w:r w:rsidR="00273B96">
        <w:rPr>
          <w:rFonts w:ascii="Georgia" w:hAnsi="Georgia"/>
          <w:b/>
          <w:color w:val="auto"/>
        </w:rPr>
        <w:t xml:space="preserve"> </w:t>
      </w:r>
      <w:r w:rsidRPr="008F5EB2">
        <w:rPr>
          <w:rFonts w:ascii="Georgia" w:hAnsi="Georgia"/>
          <w:b/>
          <w:color w:val="auto"/>
        </w:rPr>
        <w:t>use power structures</w:t>
      </w:r>
      <w:r w:rsidR="00A83771">
        <w:rPr>
          <w:rFonts w:ascii="Georgia" w:hAnsi="Georgia"/>
          <w:b/>
          <w:color w:val="auto"/>
        </w:rPr>
        <w:t xml:space="preserve"> and politics</w:t>
      </w:r>
      <w:r w:rsidRPr="008F5EB2">
        <w:rPr>
          <w:rFonts w:ascii="Georgia" w:hAnsi="Georgia"/>
          <w:b/>
          <w:color w:val="auto"/>
        </w:rPr>
        <w:t xml:space="preserve"> to exploit </w:t>
      </w:r>
      <w:r>
        <w:rPr>
          <w:rFonts w:ascii="Georgia" w:hAnsi="Georgia"/>
          <w:b/>
          <w:color w:val="auto"/>
        </w:rPr>
        <w:t xml:space="preserve">a </w:t>
      </w:r>
      <w:r w:rsidRPr="008F5EB2">
        <w:rPr>
          <w:rFonts w:ascii="Georgia" w:hAnsi="Georgia"/>
          <w:b/>
          <w:color w:val="auto"/>
        </w:rPr>
        <w:t xml:space="preserve">population </w:t>
      </w:r>
    </w:p>
    <w:bookmarkEnd w:id="1"/>
    <w:p w:rsidR="006D3005" w:rsidRPr="001F02E3" w:rsidRDefault="006D3005" w:rsidP="00F84990">
      <w:pPr>
        <w:pStyle w:val="Heading2"/>
        <w:spacing w:before="240" w:after="240" w:line="276" w:lineRule="auto"/>
        <w:rPr>
          <w:rFonts w:ascii="Georgia" w:hAnsi="Georgia"/>
          <w:b/>
          <w:i/>
          <w:color w:val="auto"/>
          <w:sz w:val="28"/>
          <w:szCs w:val="28"/>
        </w:rPr>
      </w:pPr>
      <w:r w:rsidRPr="001F02E3">
        <w:rPr>
          <w:rFonts w:ascii="Georgia" w:hAnsi="Georgia"/>
          <w:b/>
          <w:i/>
          <w:color w:val="auto"/>
          <w:sz w:val="28"/>
          <w:szCs w:val="28"/>
        </w:rPr>
        <w:t>El Cortito</w:t>
      </w:r>
      <w:r w:rsidR="00524A75">
        <w:rPr>
          <w:rFonts w:ascii="Georgia" w:hAnsi="Georgia"/>
          <w:b/>
          <w:color w:val="auto"/>
          <w:sz w:val="28"/>
          <w:szCs w:val="28"/>
        </w:rPr>
        <w:t>: Agricultural Work in California</w:t>
      </w:r>
      <w:r w:rsidRPr="001F02E3">
        <w:rPr>
          <w:rFonts w:ascii="Georgia" w:hAnsi="Georgia"/>
          <w:b/>
          <w:i/>
          <w:color w:val="auto"/>
          <w:sz w:val="28"/>
          <w:szCs w:val="28"/>
        </w:rPr>
        <w:t xml:space="preserve"> </w:t>
      </w:r>
      <w:r w:rsidR="00C544AE" w:rsidRPr="001F02E3">
        <w:rPr>
          <w:rFonts w:ascii="Georgia" w:hAnsi="Georgia"/>
          <w:b/>
          <w:i/>
          <w:color w:val="FF0000"/>
          <w:sz w:val="28"/>
          <w:szCs w:val="28"/>
        </w:rPr>
        <w:t xml:space="preserve"> </w:t>
      </w:r>
    </w:p>
    <w:p w:rsidR="007330C7" w:rsidRDefault="0020309A" w:rsidP="00527BB3">
      <w:pPr>
        <w:spacing w:after="120" w:line="276" w:lineRule="auto"/>
        <w:rPr>
          <w:rFonts w:ascii="Arial" w:hAnsi="Arial" w:cs="Arial"/>
        </w:rPr>
      </w:pPr>
      <w:r w:rsidRPr="0020309A">
        <w:rPr>
          <w:noProof/>
        </w:rPr>
        <w:pict>
          <v:shape id="_x0000_s1033" type="#_x0000_t202" style="position:absolute;margin-left:0;margin-top:119.4pt;width:172pt;height:31.5pt;z-index:251662336" filled="f" stroked="f">
            <v:fill o:detectmouseclick="t"/>
            <v:textbox style="mso-fit-shape-to-text:t" inset="0,0,0,0">
              <w:txbxContent>
                <w:p w:rsidR="001E1E61" w:rsidRPr="00C435EE" w:rsidRDefault="001E1E61" w:rsidP="00C435EE">
                  <w:pPr>
                    <w:pStyle w:val="Caption"/>
                    <w:rPr>
                      <w:rFonts w:ascii="Arial" w:hAnsi="Arial"/>
                      <w:b w:val="0"/>
                      <w:color w:val="auto"/>
                    </w:rPr>
                  </w:pPr>
                  <w:r w:rsidRPr="00C435EE">
                    <w:rPr>
                      <w:rFonts w:ascii="Arial" w:hAnsi="Arial"/>
                      <w:b w:val="0"/>
                      <w:color w:val="auto"/>
                    </w:rPr>
                    <w:t xml:space="preserve">Figure </w:t>
                  </w:r>
                  <w:r w:rsidR="0020309A" w:rsidRPr="00C435EE">
                    <w:rPr>
                      <w:rFonts w:ascii="Arial" w:hAnsi="Arial"/>
                      <w:b w:val="0"/>
                      <w:color w:val="auto"/>
                    </w:rPr>
                    <w:fldChar w:fldCharType="begin"/>
                  </w:r>
                  <w:r w:rsidRPr="00C435EE">
                    <w:rPr>
                      <w:rFonts w:ascii="Arial" w:hAnsi="Arial"/>
                      <w:b w:val="0"/>
                      <w:color w:val="auto"/>
                    </w:rPr>
                    <w:instrText xml:space="preserve"> SEQ Figure \* ARABIC </w:instrText>
                  </w:r>
                  <w:r w:rsidR="0020309A" w:rsidRPr="00C435EE">
                    <w:rPr>
                      <w:rFonts w:ascii="Arial" w:hAnsi="Arial"/>
                      <w:b w:val="0"/>
                      <w:color w:val="auto"/>
                    </w:rPr>
                    <w:fldChar w:fldCharType="separate"/>
                  </w:r>
                  <w:r>
                    <w:rPr>
                      <w:rFonts w:ascii="Arial" w:hAnsi="Arial"/>
                      <w:b w:val="0"/>
                      <w:noProof/>
                      <w:color w:val="auto"/>
                    </w:rPr>
                    <w:t>1</w:t>
                  </w:r>
                  <w:r w:rsidR="0020309A" w:rsidRPr="00C435EE">
                    <w:rPr>
                      <w:rFonts w:ascii="Arial" w:hAnsi="Arial"/>
                      <w:b w:val="0"/>
                      <w:color w:val="auto"/>
                    </w:rPr>
                    <w:fldChar w:fldCharType="end"/>
                  </w:r>
                  <w:r w:rsidRPr="00C435EE">
                    <w:rPr>
                      <w:rFonts w:ascii="Arial" w:hAnsi="Arial"/>
                      <w:b w:val="0"/>
                      <w:color w:val="auto"/>
                    </w:rPr>
                    <w:t>, Agricultural Workers in the Fields, sits.sjsu.edu</w:t>
                  </w:r>
                </w:p>
              </w:txbxContent>
            </v:textbox>
            <w10:wrap type="square"/>
          </v:shape>
        </w:pict>
      </w:r>
      <w:r w:rsidR="00C435EE">
        <w:rPr>
          <w:rFonts w:ascii="Arial" w:hAnsi="Arial" w:cs="Arial"/>
          <w:i/>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100330</wp:posOffset>
            </wp:positionV>
            <wp:extent cx="2184400" cy="1358900"/>
            <wp:effectExtent l="25400" t="0" r="0" b="0"/>
            <wp:wrapSquare wrapText="bothSides"/>
            <wp:docPr id="4" name="Picture 1" descr="Macintosh HD:Users:mollyslavin:Desktop:el cortit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ollyslavin:Desktop:el cortito.jpeg"/>
                    <pic:cNvPicPr>
                      <a:picLocks noChangeAspect="1" noChangeArrowheads="1"/>
                    </pic:cNvPicPr>
                  </pic:nvPicPr>
                  <pic:blipFill>
                    <a:blip r:embed="rId13"/>
                    <a:srcRect/>
                    <a:stretch>
                      <a:fillRect/>
                    </a:stretch>
                  </pic:blipFill>
                  <pic:spPr bwMode="auto">
                    <a:xfrm>
                      <a:off x="0" y="0"/>
                      <a:ext cx="2184400" cy="1358900"/>
                    </a:xfrm>
                    <a:prstGeom prst="rect">
                      <a:avLst/>
                    </a:prstGeom>
                    <a:noFill/>
                    <a:ln w="9525">
                      <a:noFill/>
                      <a:miter lim="800000"/>
                      <a:headEnd/>
                      <a:tailEnd/>
                    </a:ln>
                  </pic:spPr>
                </pic:pic>
              </a:graphicData>
            </a:graphic>
          </wp:anchor>
        </w:drawing>
      </w:r>
      <w:r w:rsidR="00A35291" w:rsidRPr="00044A9C">
        <w:rPr>
          <w:rFonts w:ascii="Arial" w:hAnsi="Arial" w:cs="Arial"/>
          <w:i/>
        </w:rPr>
        <w:t>El Cortito</w:t>
      </w:r>
      <w:r w:rsidR="000B599F">
        <w:rPr>
          <w:rFonts w:ascii="Arial" w:hAnsi="Arial" w:cs="Arial"/>
        </w:rPr>
        <w:t xml:space="preserve"> is the name of a short-handled hoe that migrant workers used on California farms in the early 20</w:t>
      </w:r>
      <w:r w:rsidR="000B599F" w:rsidRPr="000B599F">
        <w:rPr>
          <w:rFonts w:ascii="Arial" w:hAnsi="Arial" w:cs="Arial"/>
          <w:vertAlign w:val="superscript"/>
        </w:rPr>
        <w:t>th</w:t>
      </w:r>
      <w:r w:rsidR="000B599F">
        <w:rPr>
          <w:rFonts w:ascii="Arial" w:hAnsi="Arial" w:cs="Arial"/>
        </w:rPr>
        <w:t xml:space="preserve"> century. T</w:t>
      </w:r>
      <w:r w:rsidR="00A35291" w:rsidRPr="00044A9C">
        <w:rPr>
          <w:rFonts w:ascii="Arial" w:hAnsi="Arial" w:cs="Arial"/>
        </w:rPr>
        <w:t xml:space="preserve">hese short-handled hoes required workers to stoop to do their work, </w:t>
      </w:r>
      <w:r w:rsidR="000B599F">
        <w:rPr>
          <w:rFonts w:ascii="Arial" w:hAnsi="Arial" w:cs="Arial"/>
        </w:rPr>
        <w:t>a practice that was very hard on their bodies and had long-term health consequences.</w:t>
      </w:r>
      <w:r w:rsidR="00941940">
        <w:rPr>
          <w:rFonts w:ascii="Arial" w:hAnsi="Arial" w:cs="Arial"/>
        </w:rPr>
        <w:t xml:space="preserve"> F</w:t>
      </w:r>
      <w:r w:rsidR="00A35291" w:rsidRPr="00044A9C">
        <w:rPr>
          <w:rFonts w:ascii="Arial" w:hAnsi="Arial" w:cs="Arial"/>
        </w:rPr>
        <w:t xml:space="preserve">arm managers maintained that these hoes were better </w:t>
      </w:r>
      <w:r w:rsidR="009009A2">
        <w:rPr>
          <w:rFonts w:ascii="Arial" w:hAnsi="Arial" w:cs="Arial"/>
        </w:rPr>
        <w:t>because they</w:t>
      </w:r>
      <w:r w:rsidR="00A35291" w:rsidRPr="00044A9C">
        <w:rPr>
          <w:rFonts w:ascii="Arial" w:hAnsi="Arial" w:cs="Arial"/>
        </w:rPr>
        <w:t xml:space="preserve"> reduc</w:t>
      </w:r>
      <w:r w:rsidR="00A75490">
        <w:rPr>
          <w:rFonts w:ascii="Arial" w:hAnsi="Arial" w:cs="Arial"/>
        </w:rPr>
        <w:t>ed</w:t>
      </w:r>
      <w:r w:rsidR="00A35291" w:rsidRPr="00044A9C">
        <w:rPr>
          <w:rFonts w:ascii="Arial" w:hAnsi="Arial" w:cs="Arial"/>
        </w:rPr>
        <w:t xml:space="preserve"> damage to crops in the weeding work</w:t>
      </w:r>
      <w:r w:rsidR="00941940">
        <w:rPr>
          <w:rFonts w:ascii="Arial" w:hAnsi="Arial" w:cs="Arial"/>
        </w:rPr>
        <w:t>, while c</w:t>
      </w:r>
      <w:r w:rsidR="00A9089B" w:rsidRPr="00044A9C">
        <w:rPr>
          <w:rFonts w:ascii="Arial" w:hAnsi="Arial" w:cs="Arial"/>
        </w:rPr>
        <w:t xml:space="preserve">ritics of </w:t>
      </w:r>
      <w:r w:rsidR="00A9089B" w:rsidRPr="00044A9C">
        <w:rPr>
          <w:rFonts w:ascii="Arial" w:hAnsi="Arial" w:cs="Arial"/>
          <w:i/>
        </w:rPr>
        <w:t xml:space="preserve">el cortito </w:t>
      </w:r>
      <w:r w:rsidR="00A9089B" w:rsidRPr="00044A9C">
        <w:rPr>
          <w:rFonts w:ascii="Arial" w:hAnsi="Arial" w:cs="Arial"/>
        </w:rPr>
        <w:t>hypothesize there were ulterior motives behind the implementation of the tool</w:t>
      </w:r>
      <w:r w:rsidR="009009A2">
        <w:rPr>
          <w:rFonts w:ascii="Arial" w:hAnsi="Arial" w:cs="Arial"/>
        </w:rPr>
        <w:t>, including:</w:t>
      </w:r>
      <w:r w:rsidR="00A9089B" w:rsidRPr="00044A9C">
        <w:rPr>
          <w:rFonts w:ascii="Arial" w:hAnsi="Arial" w:cs="Arial"/>
        </w:rPr>
        <w:t xml:space="preserve"> “a need to maintain control over the workers in an effort to assure a profitable return</w:t>
      </w:r>
      <w:r w:rsidR="006B5EC1">
        <w:rPr>
          <w:rFonts w:ascii="Arial" w:hAnsi="Arial" w:cs="Arial"/>
        </w:rPr>
        <w:t>”</w:t>
      </w:r>
      <w:r w:rsidR="00A9089B" w:rsidRPr="00044A9C">
        <w:rPr>
          <w:rFonts w:ascii="Arial" w:hAnsi="Arial" w:cs="Arial"/>
        </w:rPr>
        <w:t xml:space="preserve"> (Murray, 1982). </w:t>
      </w:r>
    </w:p>
    <w:p w:rsidR="0086344E" w:rsidRDefault="00A9089B" w:rsidP="001C1E35">
      <w:pPr>
        <w:spacing w:after="120" w:line="276" w:lineRule="auto"/>
        <w:rPr>
          <w:rFonts w:ascii="Arial" w:hAnsi="Arial" w:cs="Arial"/>
        </w:rPr>
      </w:pPr>
      <w:r w:rsidRPr="00044A9C">
        <w:rPr>
          <w:rFonts w:ascii="Arial" w:hAnsi="Arial" w:cs="Arial"/>
        </w:rPr>
        <w:t xml:space="preserve">A supervisor on one of the farms using </w:t>
      </w:r>
      <w:r w:rsidRPr="00044A9C">
        <w:rPr>
          <w:rFonts w:ascii="Arial" w:hAnsi="Arial" w:cs="Arial"/>
          <w:i/>
        </w:rPr>
        <w:t xml:space="preserve">el cortito </w:t>
      </w:r>
      <w:r w:rsidR="006B5EC1">
        <w:rPr>
          <w:rFonts w:ascii="Arial" w:hAnsi="Arial" w:cs="Arial"/>
        </w:rPr>
        <w:t>said</w:t>
      </w:r>
      <w:r w:rsidRPr="00044A9C">
        <w:rPr>
          <w:rFonts w:ascii="Arial" w:hAnsi="Arial" w:cs="Arial"/>
        </w:rPr>
        <w:t>, “With the long-handled hoe I can’t tell whether they are working or just leaning on their hoes. With the short-handled hoe I know when they are not working by how often they stand up” (Murray, 1982). The short-handled hoe allowed supervisors to track how many breaks their workers were taking</w:t>
      </w:r>
      <w:r w:rsidR="009009A2">
        <w:rPr>
          <w:rFonts w:ascii="Arial" w:hAnsi="Arial" w:cs="Arial"/>
        </w:rPr>
        <w:t>, which meant they could</w:t>
      </w:r>
      <w:r w:rsidRPr="00044A9C">
        <w:rPr>
          <w:rFonts w:ascii="Arial" w:hAnsi="Arial" w:cs="Arial"/>
        </w:rPr>
        <w:t xml:space="preserve"> prevent long or frequent breaks, </w:t>
      </w:r>
      <w:r w:rsidR="009009A2">
        <w:rPr>
          <w:rFonts w:ascii="Arial" w:hAnsi="Arial" w:cs="Arial"/>
        </w:rPr>
        <w:t xml:space="preserve">thereby increasing </w:t>
      </w:r>
      <w:r w:rsidR="00F65C00" w:rsidRPr="00044A9C">
        <w:rPr>
          <w:rFonts w:ascii="Arial" w:hAnsi="Arial" w:cs="Arial"/>
        </w:rPr>
        <w:t>productivity and</w:t>
      </w:r>
      <w:r w:rsidRPr="00044A9C">
        <w:rPr>
          <w:rFonts w:ascii="Arial" w:hAnsi="Arial" w:cs="Arial"/>
        </w:rPr>
        <w:t xml:space="preserve"> profits for the farm. </w:t>
      </w:r>
      <w:r w:rsidR="009009A2">
        <w:rPr>
          <w:rFonts w:ascii="Arial" w:hAnsi="Arial" w:cs="Arial"/>
        </w:rPr>
        <w:t>Furthermore, t</w:t>
      </w:r>
      <w:r w:rsidR="001F0975" w:rsidRPr="00044A9C">
        <w:rPr>
          <w:rFonts w:ascii="Arial" w:hAnsi="Arial" w:cs="Arial"/>
        </w:rPr>
        <w:t xml:space="preserve">he short-handled hoe prevented workers from having conversations on the job, and supervisors saw this as </w:t>
      </w:r>
      <w:r w:rsidR="00A75490">
        <w:rPr>
          <w:rFonts w:ascii="Arial" w:hAnsi="Arial" w:cs="Arial"/>
        </w:rPr>
        <w:t xml:space="preserve">discouraging </w:t>
      </w:r>
      <w:r w:rsidR="001F0975" w:rsidRPr="00044A9C">
        <w:rPr>
          <w:rFonts w:ascii="Arial" w:hAnsi="Arial" w:cs="Arial"/>
        </w:rPr>
        <w:t>unionization</w:t>
      </w:r>
      <w:r w:rsidR="00564D46">
        <w:rPr>
          <w:rFonts w:ascii="Arial" w:hAnsi="Arial" w:cs="Arial"/>
        </w:rPr>
        <w:t>, preventing farm workers from organizing</w:t>
      </w:r>
      <w:r w:rsidR="001F0975" w:rsidRPr="00044A9C">
        <w:rPr>
          <w:rFonts w:ascii="Arial" w:hAnsi="Arial" w:cs="Arial"/>
        </w:rPr>
        <w:t xml:space="preserve"> (Leydens &amp; Lucena, 2018).</w:t>
      </w:r>
      <w:r w:rsidR="008C104B">
        <w:rPr>
          <w:rFonts w:ascii="Arial" w:hAnsi="Arial" w:cs="Arial"/>
        </w:rPr>
        <w:t xml:space="preserve"> </w:t>
      </w:r>
    </w:p>
    <w:p w:rsidR="00296BF7" w:rsidRDefault="006B5EC1" w:rsidP="00F84990">
      <w:pPr>
        <w:spacing w:after="120" w:line="276" w:lineRule="auto"/>
        <w:rPr>
          <w:rFonts w:ascii="Arial" w:hAnsi="Arial" w:cs="Arial"/>
        </w:rPr>
      </w:pPr>
      <w:r>
        <w:rPr>
          <w:rFonts w:ascii="Arial" w:hAnsi="Arial" w:cs="Arial"/>
        </w:rPr>
        <w:t>The short-handled hoe and other working conditions were at the center of several strikes and protests by farm workers (specifically, unionized workers) beginning in the 1920s and continuing into the 1970s.</w:t>
      </w:r>
      <w:r w:rsidR="00524A75">
        <w:rPr>
          <w:rFonts w:ascii="Arial" w:hAnsi="Arial" w:cs="Arial"/>
        </w:rPr>
        <w:t xml:space="preserve"> Organized labor leaders like Cesar Chavez pushed for better protections for workers, which would entail the banning of </w:t>
      </w:r>
      <w:r w:rsidR="00524A75">
        <w:rPr>
          <w:rFonts w:ascii="Arial" w:hAnsi="Arial" w:cs="Arial"/>
          <w:i/>
        </w:rPr>
        <w:t>el cortito.</w:t>
      </w:r>
      <w:r>
        <w:rPr>
          <w:rFonts w:ascii="Arial" w:hAnsi="Arial" w:cs="Arial"/>
        </w:rPr>
        <w:t xml:space="preserve"> </w:t>
      </w:r>
      <w:r w:rsidRPr="006B5EC1">
        <w:rPr>
          <w:rFonts w:ascii="Arial" w:hAnsi="Arial" w:cs="Arial"/>
        </w:rPr>
        <w:t>Eventually, government hearings and a California Supreme Court ruling resulted in Administrative Interpretation No. 62</w:t>
      </w:r>
      <w:r w:rsidR="00DC0A26">
        <w:rPr>
          <w:rFonts w:ascii="Arial" w:hAnsi="Arial" w:cs="Arial"/>
        </w:rPr>
        <w:t>,</w:t>
      </w:r>
      <w:r w:rsidR="007330C7">
        <w:rPr>
          <w:rFonts w:ascii="Arial" w:hAnsi="Arial" w:cs="Arial"/>
        </w:rPr>
        <w:t xml:space="preserve"> which</w:t>
      </w:r>
      <w:r w:rsidRPr="006B5EC1">
        <w:rPr>
          <w:rFonts w:ascii="Arial" w:hAnsi="Arial" w:cs="Arial"/>
        </w:rPr>
        <w:t xml:space="preserve"> banned the short-handled hoe in 1975, citing proven</w:t>
      </w:r>
      <w:r w:rsidR="007A2F44">
        <w:rPr>
          <w:rFonts w:ascii="Arial" w:hAnsi="Arial" w:cs="Arial"/>
        </w:rPr>
        <w:t xml:space="preserve"> health hazards</w:t>
      </w:r>
      <w:r w:rsidR="007A2F44">
        <w:rPr>
          <w:rFonts w:ascii="Arial" w:hAnsi="Arial" w:cs="Arial"/>
          <w:i/>
        </w:rPr>
        <w:t>.</w:t>
      </w:r>
      <w:r w:rsidR="007A2F44">
        <w:rPr>
          <w:rFonts w:ascii="Arial" w:hAnsi="Arial" w:cs="Arial"/>
        </w:rPr>
        <w:t xml:space="preserve"> Since the ban, agricultural workers have been healthie</w:t>
      </w:r>
      <w:r>
        <w:rPr>
          <w:rFonts w:ascii="Arial" w:hAnsi="Arial" w:cs="Arial"/>
        </w:rPr>
        <w:t>r</w:t>
      </w:r>
      <w:r w:rsidR="00524A75">
        <w:rPr>
          <w:rFonts w:ascii="Arial" w:hAnsi="Arial" w:cs="Arial"/>
        </w:rPr>
        <w:t>, both individually and collectively</w:t>
      </w:r>
      <w:r>
        <w:rPr>
          <w:rFonts w:ascii="Arial" w:hAnsi="Arial" w:cs="Arial"/>
        </w:rPr>
        <w:t xml:space="preserve">. This has </w:t>
      </w:r>
      <w:r w:rsidR="007A2F44">
        <w:rPr>
          <w:rFonts w:ascii="Arial" w:hAnsi="Arial" w:cs="Arial"/>
        </w:rPr>
        <w:t>resulted in less turnover</w:t>
      </w:r>
      <w:r>
        <w:rPr>
          <w:rFonts w:ascii="Arial" w:hAnsi="Arial" w:cs="Arial"/>
        </w:rPr>
        <w:t xml:space="preserve">, allowing </w:t>
      </w:r>
      <w:r w:rsidR="007A2F44">
        <w:rPr>
          <w:rFonts w:ascii="Arial" w:hAnsi="Arial" w:cs="Arial"/>
        </w:rPr>
        <w:t>unions in the industry to grow (Murray, 1982)</w:t>
      </w:r>
      <w:r w:rsidR="00524A75">
        <w:rPr>
          <w:rFonts w:ascii="Arial" w:hAnsi="Arial" w:cs="Arial"/>
        </w:rPr>
        <w:t>, which in turn affords agricultural workers more protections and space to advocate for further safety regulations</w:t>
      </w:r>
      <w:r w:rsidR="007A2F44">
        <w:rPr>
          <w:rFonts w:ascii="Arial" w:hAnsi="Arial" w:cs="Arial"/>
        </w:rPr>
        <w:t>.</w:t>
      </w:r>
      <w:r w:rsidR="00CA48C4">
        <w:rPr>
          <w:rFonts w:ascii="Arial" w:hAnsi="Arial" w:cs="Arial"/>
        </w:rPr>
        <w:t xml:space="preserve"> </w:t>
      </w:r>
      <w:r w:rsidR="00296BF7">
        <w:rPr>
          <w:rFonts w:ascii="Arial" w:hAnsi="Arial" w:cs="Arial"/>
        </w:rPr>
        <w:t xml:space="preserve">The success of the ban on </w:t>
      </w:r>
      <w:r w:rsidR="00296BF7">
        <w:rPr>
          <w:rFonts w:ascii="Arial" w:hAnsi="Arial" w:cs="Arial"/>
          <w:i/>
        </w:rPr>
        <w:t>el cortito</w:t>
      </w:r>
      <w:r w:rsidR="00296BF7">
        <w:rPr>
          <w:rFonts w:ascii="Arial" w:hAnsi="Arial" w:cs="Arial"/>
        </w:rPr>
        <w:t xml:space="preserve"> has </w:t>
      </w:r>
      <w:r>
        <w:rPr>
          <w:rFonts w:ascii="Arial" w:hAnsi="Arial" w:cs="Arial"/>
        </w:rPr>
        <w:t xml:space="preserve">also </w:t>
      </w:r>
      <w:r w:rsidR="00296BF7">
        <w:rPr>
          <w:rFonts w:ascii="Arial" w:hAnsi="Arial" w:cs="Arial"/>
        </w:rPr>
        <w:t xml:space="preserve">encouraged </w:t>
      </w:r>
      <w:r>
        <w:rPr>
          <w:rFonts w:ascii="Arial" w:hAnsi="Arial" w:cs="Arial"/>
        </w:rPr>
        <w:t>unionized</w:t>
      </w:r>
      <w:r w:rsidR="00296BF7">
        <w:rPr>
          <w:rFonts w:ascii="Arial" w:hAnsi="Arial" w:cs="Arial"/>
        </w:rPr>
        <w:t xml:space="preserve"> resistance to other working conditions in the agricultural industry. </w:t>
      </w:r>
    </w:p>
    <w:p w:rsidR="006B5EC1" w:rsidRPr="00296BF7" w:rsidRDefault="006B5EC1" w:rsidP="00F84990">
      <w:pPr>
        <w:spacing w:line="276" w:lineRule="auto"/>
        <w:rPr>
          <w:rFonts w:ascii="Arial" w:hAnsi="Arial" w:cs="Arial"/>
        </w:rPr>
      </w:pPr>
    </w:p>
    <w:p w:rsidR="00E37202" w:rsidRPr="00E37202" w:rsidRDefault="00E37202" w:rsidP="00F84990">
      <w:pPr>
        <w:spacing w:after="120" w:line="276" w:lineRule="auto"/>
        <w:ind w:left="720" w:hanging="720"/>
        <w:rPr>
          <w:rFonts w:ascii="Arial" w:hAnsi="Arial" w:cs="Arial"/>
          <w:b/>
        </w:rPr>
      </w:pPr>
      <w:r w:rsidRPr="00E37202">
        <w:rPr>
          <w:rFonts w:ascii="Arial" w:hAnsi="Arial" w:cs="Arial"/>
          <w:b/>
        </w:rPr>
        <w:t>Works Cited</w:t>
      </w:r>
    </w:p>
    <w:p w:rsidR="00507E13" w:rsidRPr="00044A9C" w:rsidRDefault="00C33FF3" w:rsidP="00F84990">
      <w:pPr>
        <w:spacing w:after="120" w:line="276" w:lineRule="auto"/>
        <w:ind w:left="720" w:hanging="720"/>
        <w:rPr>
          <w:rFonts w:ascii="Arial" w:hAnsi="Arial" w:cs="Arial"/>
        </w:rPr>
      </w:pPr>
      <w:r>
        <w:rPr>
          <w:rFonts w:ascii="Arial" w:hAnsi="Arial" w:cs="Arial"/>
        </w:rPr>
        <w:t>Leydens, Jon A., &amp; Lucena, Juan</w:t>
      </w:r>
      <w:r w:rsidR="00507E13" w:rsidRPr="00044A9C">
        <w:rPr>
          <w:rFonts w:ascii="Arial" w:hAnsi="Arial" w:cs="Arial"/>
        </w:rPr>
        <w:t xml:space="preserve"> C. (2018). Social Justice is Often Invisible in Engineering Education and Practice. In </w:t>
      </w:r>
      <w:r w:rsidR="00507E13" w:rsidRPr="00044A9C">
        <w:rPr>
          <w:rFonts w:ascii="Arial" w:hAnsi="Arial" w:cs="Arial"/>
          <w:i/>
          <w:iCs/>
        </w:rPr>
        <w:t>Engineering Justice: Transforming Engineering Education and Practice</w:t>
      </w:r>
      <w:r w:rsidR="00507E13" w:rsidRPr="00044A9C">
        <w:rPr>
          <w:rFonts w:ascii="Arial" w:hAnsi="Arial" w:cs="Arial"/>
        </w:rPr>
        <w:t> (pp. 45-66). Piscataway, NJ: IEEE Press.</w:t>
      </w:r>
    </w:p>
    <w:p w:rsidR="00A35291" w:rsidRPr="00044A9C" w:rsidRDefault="001F0975" w:rsidP="00F84990">
      <w:pPr>
        <w:spacing w:after="240" w:line="276" w:lineRule="auto"/>
        <w:ind w:left="720" w:hanging="720"/>
        <w:rPr>
          <w:rFonts w:ascii="Arial" w:hAnsi="Arial" w:cs="Arial"/>
        </w:rPr>
      </w:pPr>
      <w:r w:rsidRPr="00044A9C">
        <w:rPr>
          <w:rFonts w:ascii="Arial" w:hAnsi="Arial" w:cs="Arial"/>
        </w:rPr>
        <w:t>Murray, D. L. (1982). The Abolition of El Cortito, the Short-Handled Hoe A Case Study in Social Conflict and State Policy in California Agriculture. </w:t>
      </w:r>
      <w:r w:rsidRPr="00044A9C">
        <w:rPr>
          <w:rFonts w:ascii="Arial" w:hAnsi="Arial" w:cs="Arial"/>
          <w:i/>
          <w:iCs/>
        </w:rPr>
        <w:t>Social Problems,</w:t>
      </w:r>
      <w:r w:rsidRPr="00044A9C">
        <w:rPr>
          <w:rFonts w:ascii="Arial" w:hAnsi="Arial" w:cs="Arial"/>
        </w:rPr>
        <w:t> </w:t>
      </w:r>
      <w:r w:rsidRPr="00044A9C">
        <w:rPr>
          <w:rFonts w:ascii="Arial" w:hAnsi="Arial" w:cs="Arial"/>
          <w:i/>
          <w:iCs/>
        </w:rPr>
        <w:t>30</w:t>
      </w:r>
      <w:r w:rsidRPr="00044A9C">
        <w:rPr>
          <w:rFonts w:ascii="Arial" w:hAnsi="Arial" w:cs="Arial"/>
        </w:rPr>
        <w:t>(1), 26-39. Retrieved from http://www.jstor.org/stable/800182</w:t>
      </w:r>
    </w:p>
    <w:p w:rsidR="008D7A57" w:rsidRPr="006271DC" w:rsidRDefault="008D7A57" w:rsidP="00F84990">
      <w:pPr>
        <w:pStyle w:val="Heading2"/>
        <w:spacing w:before="240" w:after="240" w:line="276" w:lineRule="auto"/>
        <w:rPr>
          <w:rFonts w:ascii="Georgia" w:hAnsi="Georgia"/>
          <w:b/>
          <w:color w:val="auto"/>
          <w:sz w:val="28"/>
          <w:szCs w:val="28"/>
        </w:rPr>
      </w:pPr>
      <w:r w:rsidRPr="006271DC">
        <w:rPr>
          <w:rFonts w:ascii="Georgia" w:hAnsi="Georgia"/>
          <w:b/>
          <w:color w:val="auto"/>
          <w:sz w:val="28"/>
          <w:szCs w:val="28"/>
        </w:rPr>
        <w:t>Flint, Michigan</w:t>
      </w:r>
      <w:r w:rsidR="0064304A">
        <w:rPr>
          <w:rFonts w:ascii="Georgia" w:hAnsi="Georgia"/>
          <w:b/>
          <w:color w:val="auto"/>
          <w:sz w:val="28"/>
          <w:szCs w:val="28"/>
        </w:rPr>
        <w:t xml:space="preserve"> Water Crisis </w:t>
      </w:r>
      <w:r w:rsidR="004830B5">
        <w:rPr>
          <w:rFonts w:ascii="Georgia" w:hAnsi="Georgia"/>
          <w:b/>
          <w:color w:val="auto"/>
          <w:sz w:val="28"/>
          <w:szCs w:val="28"/>
        </w:rPr>
        <w:t>and Lead Poisoning</w:t>
      </w:r>
    </w:p>
    <w:p w:rsidR="00AA785B" w:rsidRPr="00CA1D35" w:rsidRDefault="00AA785B" w:rsidP="00CA1D35">
      <w:pPr>
        <w:spacing w:after="120" w:line="276" w:lineRule="auto"/>
        <w:rPr>
          <w:rFonts w:ascii="Arial" w:hAnsi="Arial" w:cs="Arial"/>
        </w:rPr>
      </w:pPr>
      <w:r w:rsidRPr="00CA1D35">
        <w:rPr>
          <w:rFonts w:ascii="Arial" w:hAnsi="Arial" w:cs="Arial"/>
        </w:rPr>
        <w:t>On April 25th, 2014, the city of Flint, Michigan switched water providers from the Detroit Water and Sewage Department to the local Flint River. Flint, a declining industrial town where</w:t>
      </w:r>
      <w:r w:rsidR="00ED74FB">
        <w:rPr>
          <w:rFonts w:ascii="Arial" w:hAnsi="Arial" w:cs="Arial"/>
        </w:rPr>
        <w:t>, at the time of the switch,</w:t>
      </w:r>
      <w:r w:rsidRPr="00CA1D35">
        <w:rPr>
          <w:rFonts w:ascii="Arial" w:hAnsi="Arial" w:cs="Arial"/>
        </w:rPr>
        <w:t xml:space="preserve"> 41.2% of residents live</w:t>
      </w:r>
      <w:r w:rsidR="00DA157B">
        <w:rPr>
          <w:rFonts w:ascii="Arial" w:hAnsi="Arial" w:cs="Arial"/>
        </w:rPr>
        <w:t>d</w:t>
      </w:r>
      <w:r w:rsidRPr="00CA1D35">
        <w:rPr>
          <w:rFonts w:ascii="Arial" w:hAnsi="Arial" w:cs="Arial"/>
        </w:rPr>
        <w:t xml:space="preserve"> below the poverty line and 56.6% were African-American, was experiencing a dramatic economic deficit (CNN). The switch to the Flint River (billed as temporary while Flint built its own pipeline to the Karegnondi Water Authority) had the potential to save the city $200 million over the next twenty-five years (Kennedy). City officials, including Mayor Dayne Walling, asserted that, “It’s regular, good, pure drinking water, and it’s right in our backyard” (Cherry).</w:t>
      </w:r>
      <w:r w:rsidR="00D2370F">
        <w:rPr>
          <w:rFonts w:ascii="Arial" w:hAnsi="Arial" w:cs="Arial"/>
        </w:rPr>
        <w:t xml:space="preserve"> </w:t>
      </w:r>
      <w:r w:rsidR="00DA157B">
        <w:rPr>
          <w:rFonts w:ascii="Arial" w:hAnsi="Arial" w:cs="Arial"/>
        </w:rPr>
        <w:t xml:space="preserve">Unfortunately, this </w:t>
      </w:r>
      <w:r w:rsidR="00D2370F">
        <w:rPr>
          <w:rFonts w:ascii="Arial" w:hAnsi="Arial" w:cs="Arial"/>
        </w:rPr>
        <w:t xml:space="preserve">decision to choose the cheaper option (using the Flint River as the city’s water source) proved to </w:t>
      </w:r>
      <w:r w:rsidR="00ED74FB">
        <w:rPr>
          <w:rFonts w:ascii="Arial" w:hAnsi="Arial" w:cs="Arial"/>
        </w:rPr>
        <w:t>have a catastrophic</w:t>
      </w:r>
      <w:r w:rsidR="005C11BF">
        <w:rPr>
          <w:rFonts w:ascii="Arial" w:hAnsi="Arial" w:cs="Arial"/>
        </w:rPr>
        <w:t xml:space="preserve"> effect on the city.</w:t>
      </w:r>
    </w:p>
    <w:p w:rsidR="00AA785B" w:rsidRPr="00CA1D35" w:rsidRDefault="0020309A" w:rsidP="00CA1D35">
      <w:pPr>
        <w:spacing w:after="120" w:line="276" w:lineRule="auto"/>
        <w:rPr>
          <w:rFonts w:ascii="Arial" w:hAnsi="Arial" w:cs="Arial"/>
        </w:rPr>
      </w:pPr>
      <w:r w:rsidRPr="0020309A">
        <w:rPr>
          <w:noProof/>
        </w:rPr>
        <w:pict>
          <v:shape id="_x0000_s1034" type="#_x0000_t202" style="position:absolute;margin-left:297pt;margin-top:122pt;width:151pt;height:31.5pt;z-index:251665408" filled="f" stroked="f">
            <v:fill o:detectmouseclick="t"/>
            <v:textbox style="mso-fit-shape-to-text:t" inset="0,0,0,0">
              <w:txbxContent>
                <w:p w:rsidR="001E1E61" w:rsidRPr="00AA14DF" w:rsidRDefault="001E1E61" w:rsidP="00AA14DF">
                  <w:pPr>
                    <w:pStyle w:val="Caption"/>
                    <w:rPr>
                      <w:rFonts w:ascii="Arial" w:hAnsi="Arial"/>
                      <w:b w:val="0"/>
                      <w:color w:val="auto"/>
                    </w:rPr>
                  </w:pPr>
                  <w:r w:rsidRPr="00AA14DF">
                    <w:rPr>
                      <w:rFonts w:ascii="Arial" w:hAnsi="Arial"/>
                      <w:b w:val="0"/>
                      <w:color w:val="auto"/>
                    </w:rPr>
                    <w:t xml:space="preserve">Figure </w:t>
                  </w:r>
                  <w:r w:rsidR="0020309A" w:rsidRPr="00AA14DF">
                    <w:rPr>
                      <w:rFonts w:ascii="Arial" w:hAnsi="Arial"/>
                      <w:b w:val="0"/>
                      <w:color w:val="auto"/>
                    </w:rPr>
                    <w:fldChar w:fldCharType="begin"/>
                  </w:r>
                  <w:r w:rsidRPr="00AA14DF">
                    <w:rPr>
                      <w:rFonts w:ascii="Arial" w:hAnsi="Arial"/>
                      <w:b w:val="0"/>
                      <w:color w:val="auto"/>
                    </w:rPr>
                    <w:instrText xml:space="preserve"> SEQ Figure \* ARABIC </w:instrText>
                  </w:r>
                  <w:r w:rsidR="0020309A" w:rsidRPr="00AA14DF">
                    <w:rPr>
                      <w:rFonts w:ascii="Arial" w:hAnsi="Arial"/>
                      <w:b w:val="0"/>
                      <w:color w:val="auto"/>
                    </w:rPr>
                    <w:fldChar w:fldCharType="separate"/>
                  </w:r>
                  <w:r>
                    <w:rPr>
                      <w:rFonts w:ascii="Arial" w:hAnsi="Arial"/>
                      <w:b w:val="0"/>
                      <w:noProof/>
                      <w:color w:val="auto"/>
                    </w:rPr>
                    <w:t>2</w:t>
                  </w:r>
                  <w:r w:rsidR="0020309A" w:rsidRPr="00AA14DF">
                    <w:rPr>
                      <w:rFonts w:ascii="Arial" w:hAnsi="Arial"/>
                      <w:b w:val="0"/>
                      <w:color w:val="auto"/>
                    </w:rPr>
                    <w:fldChar w:fldCharType="end"/>
                  </w:r>
                  <w:r w:rsidRPr="00AA14DF">
                    <w:rPr>
                      <w:rFonts w:ascii="Arial" w:hAnsi="Arial"/>
                      <w:b w:val="0"/>
                      <w:color w:val="auto"/>
                    </w:rPr>
                    <w:t>, Protestors in Flint, npr.org</w:t>
                  </w:r>
                </w:p>
              </w:txbxContent>
            </v:textbox>
            <w10:wrap type="square"/>
          </v:shape>
        </w:pict>
      </w:r>
      <w:r w:rsidR="00144778">
        <w:rPr>
          <w:rFonts w:ascii="Arial" w:hAnsi="Arial" w:cs="Arial"/>
          <w:noProof/>
        </w:rPr>
        <w:drawing>
          <wp:anchor distT="0" distB="0" distL="114300" distR="114300" simplePos="0" relativeHeight="251663360" behindDoc="0" locked="0" layoutInCell="1" allowOverlap="1">
            <wp:simplePos x="0" y="0"/>
            <wp:positionH relativeFrom="column">
              <wp:posOffset>3771900</wp:posOffset>
            </wp:positionH>
            <wp:positionV relativeFrom="paragraph">
              <wp:posOffset>57150</wp:posOffset>
            </wp:positionV>
            <wp:extent cx="1917700" cy="1435100"/>
            <wp:effectExtent l="25400" t="0" r="0" b="0"/>
            <wp:wrapSquare wrapText="bothSides"/>
            <wp:docPr id="8" name="Picture 2" descr="Macintosh HD:Users:mollyslavin:Desktop:flin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ollyslavin:Desktop:flint.jpeg"/>
                    <pic:cNvPicPr>
                      <a:picLocks noChangeAspect="1" noChangeArrowheads="1"/>
                    </pic:cNvPicPr>
                  </pic:nvPicPr>
                  <pic:blipFill>
                    <a:blip r:embed="rId14"/>
                    <a:srcRect/>
                    <a:stretch>
                      <a:fillRect/>
                    </a:stretch>
                  </pic:blipFill>
                  <pic:spPr bwMode="auto">
                    <a:xfrm>
                      <a:off x="0" y="0"/>
                      <a:ext cx="1917700" cy="1435100"/>
                    </a:xfrm>
                    <a:prstGeom prst="rect">
                      <a:avLst/>
                    </a:prstGeom>
                    <a:noFill/>
                    <a:ln w="9525">
                      <a:noFill/>
                      <a:miter lim="800000"/>
                      <a:headEnd/>
                      <a:tailEnd/>
                    </a:ln>
                  </pic:spPr>
                </pic:pic>
              </a:graphicData>
            </a:graphic>
          </wp:anchor>
        </w:drawing>
      </w:r>
      <w:r w:rsidR="005C11BF">
        <w:rPr>
          <w:rFonts w:ascii="Arial" w:hAnsi="Arial" w:cs="Arial"/>
        </w:rPr>
        <w:t>W</w:t>
      </w:r>
      <w:r w:rsidR="00AA785B" w:rsidRPr="00CA1D35">
        <w:rPr>
          <w:rFonts w:ascii="Arial" w:hAnsi="Arial" w:cs="Arial"/>
        </w:rPr>
        <w:t xml:space="preserve">ithin days, residents complained of the water’s look and smell. By August, e-coli and fecal coliform levels in the water prompted water boiling advisories. </w:t>
      </w:r>
      <w:r w:rsidR="0010141B">
        <w:rPr>
          <w:rFonts w:ascii="Arial" w:hAnsi="Arial" w:cs="Arial"/>
        </w:rPr>
        <w:t>However</w:t>
      </w:r>
      <w:r w:rsidR="00AA785B" w:rsidRPr="00CA1D35">
        <w:rPr>
          <w:rFonts w:ascii="Arial" w:hAnsi="Arial" w:cs="Arial"/>
        </w:rPr>
        <w:t xml:space="preserve">, the most insidious effect of the water switch wasn’t obvious until several months later, when the EPA asserted that corrosive elements in the water were breaking down lead pipes. Both the EPA, and later, Virginia Tech professor Marc Edwards, notified the city that lead ppb (parts per billion) dramatically exceeded safe water levels. Water in the home of Flint resident Lee Ann Walters, for example, tested at 397 ppb. The EPA sets a safety limit of 15 ppb. </w:t>
      </w:r>
      <w:r w:rsidR="00824F1F">
        <w:rPr>
          <w:rFonts w:ascii="Arial" w:hAnsi="Arial" w:cs="Arial"/>
        </w:rPr>
        <w:t xml:space="preserve">The increased pollutants affecting the citizens of Flint </w:t>
      </w:r>
      <w:r w:rsidR="002369D0">
        <w:rPr>
          <w:rFonts w:ascii="Arial" w:hAnsi="Arial" w:cs="Arial"/>
        </w:rPr>
        <w:t xml:space="preserve">were linked to the </w:t>
      </w:r>
      <w:r w:rsidR="0010141B">
        <w:rPr>
          <w:rFonts w:ascii="Arial" w:hAnsi="Arial" w:cs="Arial"/>
        </w:rPr>
        <w:t>administration</w:t>
      </w:r>
      <w:r w:rsidR="00824F1F">
        <w:rPr>
          <w:rFonts w:ascii="Arial" w:hAnsi="Arial" w:cs="Arial"/>
        </w:rPr>
        <w:t>’s</w:t>
      </w:r>
      <w:r w:rsidR="0010141B">
        <w:rPr>
          <w:rFonts w:ascii="Arial" w:hAnsi="Arial" w:cs="Arial"/>
        </w:rPr>
        <w:t xml:space="preserve"> decision</w:t>
      </w:r>
      <w:r w:rsidR="00824F1F">
        <w:rPr>
          <w:rFonts w:ascii="Arial" w:hAnsi="Arial" w:cs="Arial"/>
        </w:rPr>
        <w:t xml:space="preserve"> to save money</w:t>
      </w:r>
      <w:r w:rsidR="00AF78E4">
        <w:rPr>
          <w:rFonts w:ascii="Arial" w:hAnsi="Arial" w:cs="Arial"/>
        </w:rPr>
        <w:t xml:space="preserve"> on their water infrastructure</w:t>
      </w:r>
      <w:r w:rsidR="00FC0EB0">
        <w:rPr>
          <w:rFonts w:ascii="Arial" w:hAnsi="Arial" w:cs="Arial"/>
        </w:rPr>
        <w:t xml:space="preserve"> and choosing not to invest in better technology in their water infrastructure</w:t>
      </w:r>
      <w:r w:rsidR="00AF78E4">
        <w:rPr>
          <w:rFonts w:ascii="Arial" w:hAnsi="Arial" w:cs="Arial"/>
        </w:rPr>
        <w:t xml:space="preserve">. </w:t>
      </w:r>
    </w:p>
    <w:p w:rsidR="00AA785B" w:rsidRPr="00CA1D35" w:rsidRDefault="00AA785B" w:rsidP="00CA1D35">
      <w:pPr>
        <w:spacing w:after="120" w:line="276" w:lineRule="auto"/>
        <w:rPr>
          <w:rFonts w:ascii="Arial" w:hAnsi="Arial" w:cs="Arial"/>
        </w:rPr>
      </w:pPr>
      <w:r w:rsidRPr="00CA1D35">
        <w:rPr>
          <w:rFonts w:ascii="Arial" w:hAnsi="Arial" w:cs="Arial"/>
        </w:rPr>
        <w:t>As the crisis u</w:t>
      </w:r>
      <w:r w:rsidR="003E1518">
        <w:rPr>
          <w:rFonts w:ascii="Arial" w:hAnsi="Arial" w:cs="Arial"/>
        </w:rPr>
        <w:t>nfolded</w:t>
      </w:r>
      <w:r w:rsidRPr="00CA1D35">
        <w:rPr>
          <w:rFonts w:ascii="Arial" w:hAnsi="Arial" w:cs="Arial"/>
        </w:rPr>
        <w:t>, one of its most distur</w:t>
      </w:r>
      <w:r w:rsidR="003E1518">
        <w:rPr>
          <w:rFonts w:ascii="Arial" w:hAnsi="Arial" w:cs="Arial"/>
        </w:rPr>
        <w:t>bing elements was the</w:t>
      </w:r>
      <w:r w:rsidRPr="00CA1D35">
        <w:rPr>
          <w:rFonts w:ascii="Arial" w:hAnsi="Arial" w:cs="Arial"/>
        </w:rPr>
        <w:t xml:space="preserve"> insistence of state and ci</w:t>
      </w:r>
      <w:r w:rsidR="003E1518">
        <w:rPr>
          <w:rFonts w:ascii="Arial" w:hAnsi="Arial" w:cs="Arial"/>
        </w:rPr>
        <w:t>ty officials, including</w:t>
      </w:r>
      <w:r w:rsidRPr="00CA1D35">
        <w:rPr>
          <w:rFonts w:ascii="Arial" w:hAnsi="Arial" w:cs="Arial"/>
        </w:rPr>
        <w:t xml:space="preserve"> Governor Rick Snyder, that the water was safe, that reports to the contrary were unfounded, and that opportunities to switch the water source were untenable because of associated costs. But by January 5</w:t>
      </w:r>
      <w:r w:rsidRPr="001C1E35">
        <w:rPr>
          <w:rFonts w:ascii="Arial" w:hAnsi="Arial" w:cs="Arial"/>
          <w:vertAlign w:val="superscript"/>
        </w:rPr>
        <w:t>th</w:t>
      </w:r>
      <w:r w:rsidR="007D2B04">
        <w:rPr>
          <w:rFonts w:ascii="Arial" w:hAnsi="Arial" w:cs="Arial"/>
        </w:rPr>
        <w:t>,</w:t>
      </w:r>
      <w:r w:rsidRPr="00CA1D35">
        <w:rPr>
          <w:rFonts w:ascii="Arial" w:hAnsi="Arial" w:cs="Arial"/>
        </w:rPr>
        <w:t xml:space="preserve"> 2015, Gov. Snyder had declared a state of emergency in Flint. Over the coming months multiple city officials r</w:t>
      </w:r>
      <w:r w:rsidR="003E1518">
        <w:rPr>
          <w:rFonts w:ascii="Arial" w:hAnsi="Arial" w:cs="Arial"/>
        </w:rPr>
        <w:t>esigned, and as of 2018, 15</w:t>
      </w:r>
      <w:r w:rsidRPr="00CA1D35">
        <w:rPr>
          <w:rFonts w:ascii="Arial" w:hAnsi="Arial" w:cs="Arial"/>
        </w:rPr>
        <w:t xml:space="preserve"> people have been criminally charged in </w:t>
      </w:r>
      <w:r w:rsidR="003E1518">
        <w:rPr>
          <w:rFonts w:ascii="Arial" w:hAnsi="Arial" w:cs="Arial"/>
        </w:rPr>
        <w:t xml:space="preserve">relationship to the </w:t>
      </w:r>
      <w:r w:rsidRPr="00CA1D35">
        <w:rPr>
          <w:rFonts w:ascii="Arial" w:hAnsi="Arial" w:cs="Arial"/>
        </w:rPr>
        <w:t>crisis, while th</w:t>
      </w:r>
      <w:r w:rsidR="003E1518">
        <w:rPr>
          <w:rFonts w:ascii="Arial" w:hAnsi="Arial" w:cs="Arial"/>
        </w:rPr>
        <w:t xml:space="preserve">e long-term effects of the lead </w:t>
      </w:r>
      <w:r w:rsidRPr="00CA1D35">
        <w:rPr>
          <w:rFonts w:ascii="Arial" w:hAnsi="Arial" w:cs="Arial"/>
        </w:rPr>
        <w:t xml:space="preserve">poisoning remain unknown (Egan). </w:t>
      </w:r>
    </w:p>
    <w:p w:rsidR="000A3D98" w:rsidRPr="006B5EC1" w:rsidRDefault="000A3D98" w:rsidP="00F84990">
      <w:pPr>
        <w:spacing w:after="240" w:line="276" w:lineRule="auto"/>
        <w:rPr>
          <w:rFonts w:ascii="Arial" w:hAnsi="Arial" w:cs="Arial"/>
          <w:color w:val="0563C1" w:themeColor="hyperlink"/>
          <w:u w:val="single"/>
        </w:rPr>
      </w:pPr>
      <w:r>
        <w:rPr>
          <w:rStyle w:val="Hyperlink"/>
          <w:rFonts w:ascii="Arial" w:hAnsi="Arial" w:cs="Arial"/>
          <w:color w:val="000000" w:themeColor="text1"/>
          <w:u w:val="none"/>
        </w:rPr>
        <w:t xml:space="preserve">For more information please see: </w:t>
      </w:r>
      <w:hyperlink r:id="rId15" w:history="1">
        <w:r>
          <w:rPr>
            <w:rStyle w:val="Hyperlink"/>
            <w:rFonts w:ascii="Arial" w:hAnsi="Arial" w:cs="Arial"/>
          </w:rPr>
          <w:t>SLS Case Study: The Flint Water Crisis</w:t>
        </w:r>
      </w:hyperlink>
    </w:p>
    <w:p w:rsidR="00E37202" w:rsidRPr="00E37202" w:rsidRDefault="00E37202" w:rsidP="00E37202">
      <w:pPr>
        <w:spacing w:after="120" w:line="276" w:lineRule="auto"/>
        <w:ind w:left="720" w:hanging="720"/>
        <w:rPr>
          <w:rFonts w:ascii="Arial" w:hAnsi="Arial" w:cs="Arial"/>
          <w:b/>
        </w:rPr>
      </w:pPr>
      <w:r w:rsidRPr="00E37202">
        <w:rPr>
          <w:rFonts w:ascii="Arial" w:hAnsi="Arial" w:cs="Arial"/>
          <w:b/>
        </w:rPr>
        <w:t>Works Cited</w:t>
      </w:r>
    </w:p>
    <w:p w:rsidR="007D696D" w:rsidRPr="006B5EC1" w:rsidRDefault="007D696D" w:rsidP="00CA1D35">
      <w:pPr>
        <w:spacing w:after="240" w:line="276" w:lineRule="auto"/>
        <w:ind w:left="720" w:hanging="720"/>
        <w:rPr>
          <w:rFonts w:ascii="Arial" w:hAnsi="Arial" w:cs="Arial"/>
        </w:rPr>
      </w:pPr>
      <w:r w:rsidRPr="00F84990">
        <w:rPr>
          <w:rStyle w:val="Hyperlink"/>
          <w:rFonts w:ascii="Arial" w:hAnsi="Arial" w:cs="Arial"/>
          <w:color w:val="000000" w:themeColor="text1"/>
          <w:u w:val="none"/>
        </w:rPr>
        <w:t>Egan, Paul</w:t>
      </w:r>
      <w:r w:rsidR="0044357F">
        <w:rPr>
          <w:rStyle w:val="Hyperlink"/>
          <w:rFonts w:ascii="Arial" w:hAnsi="Arial" w:cs="Arial"/>
          <w:color w:val="000000" w:themeColor="text1"/>
          <w:u w:val="none"/>
        </w:rPr>
        <w:t>. (2017)</w:t>
      </w:r>
      <w:r w:rsidRPr="006B5EC1">
        <w:rPr>
          <w:rFonts w:ascii="Arial" w:hAnsi="Arial" w:cs="Arial"/>
        </w:rPr>
        <w:t xml:space="preserve"> </w:t>
      </w:r>
      <w:hyperlink r:id="rId16" w:history="1">
        <w:r w:rsidRPr="006B5EC1">
          <w:rPr>
            <w:rStyle w:val="Hyperlink"/>
            <w:rFonts w:ascii="Arial" w:hAnsi="Arial" w:cs="Arial"/>
          </w:rPr>
          <w:t>These are the 15 people criminally charged in the Flint water crisis</w:t>
        </w:r>
      </w:hyperlink>
      <w:r w:rsidR="0044357F">
        <w:t>.</w:t>
      </w:r>
      <w:r w:rsidRPr="006B5EC1">
        <w:rPr>
          <w:rFonts w:ascii="Arial" w:hAnsi="Arial" w:cs="Arial"/>
        </w:rPr>
        <w:t xml:space="preserve"> </w:t>
      </w:r>
      <w:r w:rsidR="0044357F" w:rsidRPr="0044357F">
        <w:rPr>
          <w:rStyle w:val="Hyperlink"/>
          <w:rFonts w:ascii="Arial" w:hAnsi="Arial" w:cs="Arial"/>
          <w:i/>
          <w:color w:val="000000" w:themeColor="text1"/>
          <w:u w:val="none"/>
        </w:rPr>
        <w:t>Detroit Free Press</w:t>
      </w:r>
      <w:r w:rsidRPr="0044357F">
        <w:rPr>
          <w:rStyle w:val="Hyperlink"/>
          <w:rFonts w:ascii="Arial" w:hAnsi="Arial" w:cs="Arial"/>
          <w:i/>
          <w:color w:val="000000" w:themeColor="text1"/>
          <w:u w:val="none"/>
        </w:rPr>
        <w:t>.</w:t>
      </w:r>
      <w:r w:rsidRPr="006B5EC1">
        <w:rPr>
          <w:rFonts w:ascii="Arial" w:hAnsi="Arial" w:cs="Arial"/>
        </w:rPr>
        <w:t xml:space="preserve">  </w:t>
      </w:r>
    </w:p>
    <w:p w:rsidR="007D696D" w:rsidRPr="006B5EC1" w:rsidRDefault="007D696D" w:rsidP="00F84990">
      <w:pPr>
        <w:spacing w:after="120" w:line="276" w:lineRule="auto"/>
        <w:ind w:left="720" w:hanging="720"/>
        <w:rPr>
          <w:rFonts w:ascii="Arial" w:hAnsi="Arial" w:cs="Arial"/>
        </w:rPr>
      </w:pPr>
      <w:r w:rsidRPr="006B5EC1">
        <w:rPr>
          <w:rFonts w:ascii="Arial" w:hAnsi="Arial" w:cs="Arial"/>
        </w:rPr>
        <w:t>Cherry, Anna.</w:t>
      </w:r>
      <w:r w:rsidR="0044357F">
        <w:rPr>
          <w:rFonts w:ascii="Arial" w:hAnsi="Arial" w:cs="Arial"/>
        </w:rPr>
        <w:t xml:space="preserve"> (2017)</w:t>
      </w:r>
      <w:r w:rsidRPr="006B5EC1">
        <w:rPr>
          <w:rFonts w:ascii="Arial" w:hAnsi="Arial" w:cs="Arial"/>
        </w:rPr>
        <w:t xml:space="preserve"> </w:t>
      </w:r>
      <w:hyperlink r:id="rId17" w:history="1">
        <w:r w:rsidRPr="006B5EC1">
          <w:rPr>
            <w:rStyle w:val="Hyperlink"/>
            <w:rFonts w:ascii="Arial" w:hAnsi="Arial" w:cs="Arial"/>
          </w:rPr>
          <w:t>How Flint’s water crisis has changes its citizens</w:t>
        </w:r>
      </w:hyperlink>
      <w:r w:rsidR="0044357F">
        <w:t>.</w:t>
      </w:r>
      <w:r w:rsidRPr="006B5EC1">
        <w:rPr>
          <w:rFonts w:ascii="Arial" w:hAnsi="Arial" w:cs="Arial"/>
        </w:rPr>
        <w:t xml:space="preserve"> </w:t>
      </w:r>
      <w:r w:rsidRPr="006B5EC1">
        <w:rPr>
          <w:rFonts w:ascii="Arial" w:hAnsi="Arial" w:cs="Arial"/>
          <w:i/>
        </w:rPr>
        <w:t>URBO</w:t>
      </w:r>
      <w:r w:rsidRPr="006B5EC1">
        <w:rPr>
          <w:rFonts w:ascii="Arial" w:hAnsi="Arial" w:cs="Arial"/>
        </w:rPr>
        <w:t xml:space="preserve">. </w:t>
      </w:r>
    </w:p>
    <w:p w:rsidR="007D696D" w:rsidRPr="0044357F" w:rsidRDefault="0044357F" w:rsidP="00F84990">
      <w:pPr>
        <w:spacing w:after="120" w:line="276" w:lineRule="auto"/>
        <w:ind w:left="720" w:hanging="720"/>
        <w:rPr>
          <w:rFonts w:ascii="Arial" w:hAnsi="Arial" w:cs="Arial"/>
        </w:rPr>
      </w:pPr>
      <w:r w:rsidRPr="0044357F">
        <w:rPr>
          <w:rFonts w:ascii="Arial" w:hAnsi="Arial"/>
        </w:rPr>
        <w:t xml:space="preserve">No author. (2017). </w:t>
      </w:r>
      <w:hyperlink r:id="rId18" w:history="1">
        <w:r w:rsidR="001E0A6F" w:rsidRPr="001E0A6F">
          <w:rPr>
            <w:rStyle w:val="Hyperlink"/>
            <w:rFonts w:ascii="Arial" w:hAnsi="Arial"/>
          </w:rPr>
          <w:t>Flint Water Crisis Fast Facts</w:t>
        </w:r>
      </w:hyperlink>
      <w:r w:rsidR="001E0A6F">
        <w:rPr>
          <w:rFonts w:ascii="Arial" w:hAnsi="Arial"/>
        </w:rPr>
        <w:t xml:space="preserve">. </w:t>
      </w:r>
      <w:r w:rsidRPr="0044357F">
        <w:rPr>
          <w:rFonts w:ascii="Arial" w:hAnsi="Arial" w:cs="Arial"/>
        </w:rPr>
        <w:t>CNN.</w:t>
      </w:r>
    </w:p>
    <w:p w:rsidR="007D696D" w:rsidRPr="00F84990" w:rsidRDefault="007D696D" w:rsidP="00F84990">
      <w:pPr>
        <w:spacing w:after="120" w:line="276" w:lineRule="auto"/>
        <w:ind w:left="720" w:hanging="720"/>
        <w:rPr>
          <w:rFonts w:ascii="Arial" w:hAnsi="Arial" w:cs="Arial"/>
        </w:rPr>
      </w:pPr>
      <w:r w:rsidRPr="006B5EC1">
        <w:rPr>
          <w:rFonts w:ascii="Arial" w:hAnsi="Arial" w:cs="Arial"/>
        </w:rPr>
        <w:t>Kennedy, Merrit.</w:t>
      </w:r>
      <w:r w:rsidR="0044357F">
        <w:rPr>
          <w:rFonts w:ascii="Arial" w:hAnsi="Arial" w:cs="Arial"/>
        </w:rPr>
        <w:t xml:space="preserve"> (2016)</w:t>
      </w:r>
      <w:r w:rsidRPr="006B5EC1">
        <w:rPr>
          <w:rFonts w:ascii="Arial" w:hAnsi="Arial" w:cs="Arial"/>
        </w:rPr>
        <w:t xml:space="preserve"> </w:t>
      </w:r>
      <w:hyperlink r:id="rId19" w:history="1">
        <w:r w:rsidRPr="006B5EC1">
          <w:rPr>
            <w:rStyle w:val="Hyperlink"/>
            <w:rFonts w:ascii="Arial" w:hAnsi="Arial" w:cs="Arial"/>
          </w:rPr>
          <w:t>Lead-Laced Water in Flint: A Step-by-Step Look at the Makings of a Crisis</w:t>
        </w:r>
      </w:hyperlink>
      <w:r w:rsidR="0044357F">
        <w:t>.</w:t>
      </w:r>
      <w:r w:rsidRPr="006B5EC1">
        <w:rPr>
          <w:rFonts w:ascii="Arial" w:hAnsi="Arial" w:cs="Arial"/>
        </w:rPr>
        <w:t xml:space="preserve"> </w:t>
      </w:r>
      <w:r w:rsidRPr="0044357F">
        <w:rPr>
          <w:rFonts w:ascii="Arial" w:hAnsi="Arial" w:cs="Arial"/>
        </w:rPr>
        <w:t>NPR.</w:t>
      </w:r>
      <w:r w:rsidRPr="006B5EC1">
        <w:rPr>
          <w:rFonts w:ascii="Arial" w:hAnsi="Arial" w:cs="Arial"/>
        </w:rPr>
        <w:t xml:space="preserve">  </w:t>
      </w:r>
    </w:p>
    <w:p w:rsidR="00A56BD5" w:rsidRPr="006271DC" w:rsidRDefault="003E1518" w:rsidP="00F84990">
      <w:pPr>
        <w:pStyle w:val="Heading2"/>
        <w:spacing w:before="240" w:after="240" w:line="276" w:lineRule="auto"/>
        <w:rPr>
          <w:rFonts w:ascii="Georgia" w:hAnsi="Georgia"/>
          <w:b/>
          <w:color w:val="auto"/>
          <w:sz w:val="28"/>
          <w:szCs w:val="28"/>
        </w:rPr>
      </w:pPr>
      <w:r>
        <w:rPr>
          <w:rFonts w:ascii="Georgia" w:hAnsi="Georgia"/>
          <w:b/>
          <w:color w:val="auto"/>
          <w:sz w:val="28"/>
          <w:szCs w:val="28"/>
        </w:rPr>
        <w:t>MARTA and Interstate Highway Construction</w:t>
      </w:r>
    </w:p>
    <w:p w:rsidR="00B3333E" w:rsidRDefault="0020309A" w:rsidP="00F84990">
      <w:pPr>
        <w:spacing w:after="120" w:line="276" w:lineRule="auto"/>
        <w:rPr>
          <w:rFonts w:ascii="Arial" w:hAnsi="Arial" w:cs="Arial"/>
        </w:rPr>
      </w:pPr>
      <w:r w:rsidRPr="0020309A">
        <w:rPr>
          <w:noProof/>
        </w:rPr>
        <w:pict>
          <v:shape id="_x0000_s1035" type="#_x0000_t202" style="position:absolute;margin-left:0;margin-top:184.15pt;width:219pt;height:19.5pt;z-index:251668480;mso-position-horizontal:absolute;mso-position-vertical:absolute" filled="f" stroked="f">
            <v:fill o:detectmouseclick="t"/>
            <v:textbox inset="0,0,0,0">
              <w:txbxContent>
                <w:p w:rsidR="001E1E61" w:rsidRPr="00AA14DF" w:rsidRDefault="001E1E61" w:rsidP="00AA14DF">
                  <w:pPr>
                    <w:pStyle w:val="Caption"/>
                    <w:rPr>
                      <w:rFonts w:ascii="Arial" w:hAnsi="Arial"/>
                      <w:b w:val="0"/>
                      <w:color w:val="auto"/>
                    </w:rPr>
                  </w:pPr>
                  <w:r w:rsidRPr="00AA14DF">
                    <w:rPr>
                      <w:rFonts w:ascii="Arial" w:hAnsi="Arial"/>
                      <w:b w:val="0"/>
                      <w:color w:val="auto"/>
                    </w:rPr>
                    <w:t xml:space="preserve">Figure </w:t>
                  </w:r>
                  <w:r w:rsidR="0020309A" w:rsidRPr="00AA14DF">
                    <w:rPr>
                      <w:rFonts w:ascii="Arial" w:hAnsi="Arial"/>
                      <w:b w:val="0"/>
                      <w:color w:val="auto"/>
                    </w:rPr>
                    <w:fldChar w:fldCharType="begin"/>
                  </w:r>
                  <w:r w:rsidRPr="00AA14DF">
                    <w:rPr>
                      <w:rFonts w:ascii="Arial" w:hAnsi="Arial"/>
                      <w:b w:val="0"/>
                      <w:color w:val="auto"/>
                    </w:rPr>
                    <w:instrText xml:space="preserve"> SEQ Figure \* ARABIC </w:instrText>
                  </w:r>
                  <w:r w:rsidR="0020309A" w:rsidRPr="00AA14DF">
                    <w:rPr>
                      <w:rFonts w:ascii="Arial" w:hAnsi="Arial"/>
                      <w:b w:val="0"/>
                      <w:color w:val="auto"/>
                    </w:rPr>
                    <w:fldChar w:fldCharType="separate"/>
                  </w:r>
                  <w:r>
                    <w:rPr>
                      <w:rFonts w:ascii="Arial" w:hAnsi="Arial"/>
                      <w:b w:val="0"/>
                      <w:noProof/>
                      <w:color w:val="auto"/>
                    </w:rPr>
                    <w:t>3</w:t>
                  </w:r>
                  <w:r w:rsidR="0020309A" w:rsidRPr="00AA14DF">
                    <w:rPr>
                      <w:rFonts w:ascii="Arial" w:hAnsi="Arial"/>
                      <w:b w:val="0"/>
                      <w:color w:val="auto"/>
                    </w:rPr>
                    <w:fldChar w:fldCharType="end"/>
                  </w:r>
                  <w:r w:rsidRPr="00AA14DF">
                    <w:rPr>
                      <w:rFonts w:ascii="Arial" w:hAnsi="Arial"/>
                      <w:b w:val="0"/>
                      <w:color w:val="auto"/>
                    </w:rPr>
                    <w:t>, Atlanta Traffic and MARTA, wsbradio.org</w:t>
                  </w:r>
                </w:p>
              </w:txbxContent>
            </v:textbox>
            <w10:wrap type="square"/>
          </v:shape>
        </w:pict>
      </w:r>
      <w:r w:rsidR="00AA14DF">
        <w:rPr>
          <w:rFonts w:ascii="Arial" w:hAnsi="Arial" w:cs="Arial"/>
          <w:noProof/>
        </w:rPr>
        <w:drawing>
          <wp:anchor distT="0" distB="0" distL="114300" distR="114300" simplePos="0" relativeHeight="251666432" behindDoc="0" locked="0" layoutInCell="1" allowOverlap="1">
            <wp:simplePos x="0" y="0"/>
            <wp:positionH relativeFrom="column">
              <wp:posOffset>0</wp:posOffset>
            </wp:positionH>
            <wp:positionV relativeFrom="paragraph">
              <wp:posOffset>871855</wp:posOffset>
            </wp:positionV>
            <wp:extent cx="2781300" cy="1409700"/>
            <wp:effectExtent l="25400" t="0" r="0" b="0"/>
            <wp:wrapSquare wrapText="bothSides"/>
            <wp:docPr id="10" name="Picture 3" descr="Macintosh HD:Users:mollyslavin:Desktop:mart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ollyslavin:Desktop:marta.jpeg"/>
                    <pic:cNvPicPr>
                      <a:picLocks noChangeAspect="1" noChangeArrowheads="1"/>
                    </pic:cNvPicPr>
                  </pic:nvPicPr>
                  <pic:blipFill>
                    <a:blip r:embed="rId20"/>
                    <a:srcRect/>
                    <a:stretch>
                      <a:fillRect/>
                    </a:stretch>
                  </pic:blipFill>
                  <pic:spPr bwMode="auto">
                    <a:xfrm>
                      <a:off x="0" y="0"/>
                      <a:ext cx="2781300" cy="1409700"/>
                    </a:xfrm>
                    <a:prstGeom prst="rect">
                      <a:avLst/>
                    </a:prstGeom>
                    <a:noFill/>
                    <a:ln w="9525">
                      <a:noFill/>
                      <a:miter lim="800000"/>
                      <a:headEnd/>
                      <a:tailEnd/>
                    </a:ln>
                  </pic:spPr>
                </pic:pic>
              </a:graphicData>
            </a:graphic>
          </wp:anchor>
        </w:drawing>
      </w:r>
      <w:r w:rsidR="00B3333E">
        <w:rPr>
          <w:rFonts w:ascii="Arial" w:hAnsi="Arial" w:cs="Arial"/>
        </w:rPr>
        <w:t>Traffic congestion has plagued Atlanta for decades, with no clear solutions in sight. Troublingly, these conditions</w:t>
      </w:r>
      <w:r w:rsidR="00B53A4B">
        <w:rPr>
          <w:rFonts w:ascii="Arial" w:hAnsi="Arial" w:cs="Arial"/>
        </w:rPr>
        <w:t xml:space="preserve"> could have been prevented</w:t>
      </w:r>
      <w:r w:rsidR="00B3333E">
        <w:rPr>
          <w:rFonts w:ascii="Arial" w:hAnsi="Arial" w:cs="Arial"/>
        </w:rPr>
        <w:t>. A robust transit system could have</w:t>
      </w:r>
      <w:r w:rsidR="00F6127D">
        <w:rPr>
          <w:rFonts w:ascii="Arial" w:hAnsi="Arial" w:cs="Arial"/>
        </w:rPr>
        <w:t xml:space="preserve"> avoided</w:t>
      </w:r>
      <w:r w:rsidR="00B3333E">
        <w:rPr>
          <w:rFonts w:ascii="Arial" w:hAnsi="Arial" w:cs="Arial"/>
        </w:rPr>
        <w:t xml:space="preserve"> (and perhaps could </w:t>
      </w:r>
      <w:r w:rsidR="00F6127D">
        <w:rPr>
          <w:rFonts w:ascii="Arial" w:hAnsi="Arial" w:cs="Arial"/>
        </w:rPr>
        <w:t>still avoid</w:t>
      </w:r>
      <w:r w:rsidR="00B3333E">
        <w:rPr>
          <w:rFonts w:ascii="Arial" w:hAnsi="Arial" w:cs="Arial"/>
        </w:rPr>
        <w:t xml:space="preserve">) </w:t>
      </w:r>
      <w:r w:rsidR="00F6127D">
        <w:rPr>
          <w:rFonts w:ascii="Arial" w:hAnsi="Arial" w:cs="Arial"/>
        </w:rPr>
        <w:t>Atlanta’s traffic problems</w:t>
      </w:r>
      <w:r w:rsidR="00B3333E">
        <w:rPr>
          <w:rFonts w:ascii="Arial" w:hAnsi="Arial" w:cs="Arial"/>
        </w:rPr>
        <w:t xml:space="preserve">. </w:t>
      </w:r>
      <w:r w:rsidR="00A9201A">
        <w:rPr>
          <w:rFonts w:ascii="Arial" w:hAnsi="Arial" w:cs="Arial"/>
        </w:rPr>
        <w:t xml:space="preserve">In 1965, the Georgia General Assembly voted to create </w:t>
      </w:r>
      <w:r w:rsidR="00886FB3" w:rsidRPr="00044A9C">
        <w:rPr>
          <w:rFonts w:ascii="Arial" w:hAnsi="Arial" w:cs="Arial"/>
        </w:rPr>
        <w:t>MARTA, the Metropolitan Atlanta Rapid Transit Authority</w:t>
      </w:r>
      <w:r w:rsidR="00B3333E">
        <w:rPr>
          <w:rFonts w:ascii="Arial" w:hAnsi="Arial" w:cs="Arial"/>
        </w:rPr>
        <w:t>, with service to the City of Atlanta and</w:t>
      </w:r>
      <w:r w:rsidR="004D5C77">
        <w:rPr>
          <w:rFonts w:ascii="Arial" w:hAnsi="Arial" w:cs="Arial"/>
        </w:rPr>
        <w:t xml:space="preserve"> what at the time were</w:t>
      </w:r>
      <w:r w:rsidR="00B3333E">
        <w:rPr>
          <w:rFonts w:ascii="Arial" w:hAnsi="Arial" w:cs="Arial"/>
        </w:rPr>
        <w:t xml:space="preserve"> all five metro countries: </w:t>
      </w:r>
      <w:r w:rsidR="00B3333E" w:rsidRPr="00B3333E">
        <w:rPr>
          <w:rFonts w:ascii="Arial" w:hAnsi="Arial" w:cs="Arial"/>
        </w:rPr>
        <w:t>Clayton, Cobb, DeKalb, Fulton, and Gwinnett</w:t>
      </w:r>
      <w:r w:rsidR="00B3333E">
        <w:rPr>
          <w:rFonts w:ascii="Arial" w:hAnsi="Arial" w:cs="Arial"/>
        </w:rPr>
        <w:t>. Yet</w:t>
      </w:r>
      <w:r w:rsidR="004D5C77">
        <w:rPr>
          <w:rFonts w:ascii="Arial" w:hAnsi="Arial" w:cs="Arial"/>
        </w:rPr>
        <w:t>,</w:t>
      </w:r>
      <w:r w:rsidR="00B3333E">
        <w:rPr>
          <w:rFonts w:ascii="Arial" w:hAnsi="Arial" w:cs="Arial"/>
        </w:rPr>
        <w:t xml:space="preserve"> the transit system needed approval from each county to extend its services to their citizens. Ultimately</w:t>
      </w:r>
      <w:r w:rsidR="00674A02">
        <w:rPr>
          <w:rFonts w:ascii="Arial" w:hAnsi="Arial" w:cs="Arial"/>
        </w:rPr>
        <w:t>, the suburban counties of</w:t>
      </w:r>
      <w:r w:rsidR="00B3333E">
        <w:rPr>
          <w:rFonts w:ascii="Arial" w:hAnsi="Arial" w:cs="Arial"/>
        </w:rPr>
        <w:t xml:space="preserve"> </w:t>
      </w:r>
      <w:r w:rsidR="00B3333E" w:rsidRPr="00044A9C">
        <w:rPr>
          <w:rFonts w:ascii="Arial" w:hAnsi="Arial" w:cs="Arial"/>
        </w:rPr>
        <w:t>Cobb</w:t>
      </w:r>
      <w:r w:rsidR="00B3333E">
        <w:rPr>
          <w:rFonts w:ascii="Arial" w:hAnsi="Arial" w:cs="Arial"/>
        </w:rPr>
        <w:t>, Clayton, and Gwinnett voted against MARTA</w:t>
      </w:r>
      <w:r w:rsidR="0084577F">
        <w:rPr>
          <w:rFonts w:ascii="Arial" w:hAnsi="Arial" w:cs="Arial"/>
        </w:rPr>
        <w:t xml:space="preserve"> </w:t>
      </w:r>
      <w:r w:rsidR="00F6127D">
        <w:rPr>
          <w:rFonts w:ascii="Arial" w:hAnsi="Arial" w:cs="Arial"/>
        </w:rPr>
        <w:t xml:space="preserve">in order to </w:t>
      </w:r>
      <w:r w:rsidR="0084577F">
        <w:rPr>
          <w:rFonts w:ascii="Arial" w:hAnsi="Arial" w:cs="Arial"/>
        </w:rPr>
        <w:t>maintain their separation from the inner city,</w:t>
      </w:r>
      <w:r w:rsidR="00B3333E">
        <w:rPr>
          <w:rFonts w:ascii="Arial" w:hAnsi="Arial" w:cs="Arial"/>
        </w:rPr>
        <w:t xml:space="preserve"> a decision that has drastically limited the </w:t>
      </w:r>
      <w:r w:rsidR="0084577F">
        <w:rPr>
          <w:rFonts w:ascii="Arial" w:hAnsi="Arial" w:cs="Arial"/>
        </w:rPr>
        <w:t xml:space="preserve">efficacy of the </w:t>
      </w:r>
      <w:r w:rsidR="004D5C77">
        <w:rPr>
          <w:rFonts w:ascii="Arial" w:hAnsi="Arial" w:cs="Arial"/>
        </w:rPr>
        <w:t>transit system and severely restricted MARTA’s funding sources.</w:t>
      </w:r>
    </w:p>
    <w:p w:rsidR="00B3333E" w:rsidRDefault="00B3333E" w:rsidP="00F84990">
      <w:pPr>
        <w:spacing w:after="120" w:line="276" w:lineRule="auto"/>
        <w:rPr>
          <w:rFonts w:ascii="Arial" w:hAnsi="Arial" w:cs="Arial"/>
        </w:rPr>
      </w:pPr>
      <w:r>
        <w:rPr>
          <w:rFonts w:ascii="Arial" w:hAnsi="Arial" w:cs="Arial"/>
        </w:rPr>
        <w:t>Why did this happen? There are a number of reasons, none of which reflect positively on the cit</w:t>
      </w:r>
      <w:r w:rsidR="00674A02">
        <w:rPr>
          <w:rFonts w:ascii="Arial" w:hAnsi="Arial" w:cs="Arial"/>
        </w:rPr>
        <w:t>y’s race relations. Doug Monroe writes that, “</w:t>
      </w:r>
      <w:r w:rsidR="00674A02" w:rsidRPr="00674A02">
        <w:rPr>
          <w:rFonts w:ascii="Arial" w:hAnsi="Arial" w:cs="Arial"/>
        </w:rPr>
        <w:t>T</w:t>
      </w:r>
      <w:r w:rsidR="00674A02" w:rsidRPr="00674A02">
        <w:rPr>
          <w:rFonts w:ascii="Arial" w:hAnsi="Arial" w:cs="Arial"/>
          <w:bCs/>
        </w:rPr>
        <w:t>he 1965 and 1971 votes</w:t>
      </w:r>
      <w:r w:rsidR="00674A02" w:rsidRPr="00674A02">
        <w:rPr>
          <w:rFonts w:ascii="Arial" w:hAnsi="Arial" w:cs="Arial"/>
        </w:rPr>
        <w:t xml:space="preserve"> against MARTA by residents of Cobb, Clayton, and Gwinnett weren’t votes about transportation. They were referendums on race</w:t>
      </w:r>
      <w:r w:rsidR="00674A02">
        <w:rPr>
          <w:rFonts w:ascii="Arial" w:hAnsi="Arial" w:cs="Arial"/>
        </w:rPr>
        <w:t xml:space="preserve">” (Atlanta Magazine). </w:t>
      </w:r>
      <w:r w:rsidR="009B20C6">
        <w:rPr>
          <w:rFonts w:ascii="Arial" w:hAnsi="Arial" w:cs="Arial"/>
        </w:rPr>
        <w:t>The population of the suburbs grew exponentially during the post-war period, and the population growth was largely “white flight” from the inner city. People were able to move due to transportation and housing policies that “supported population de-concentration and white flight,” according to the Partnership for Southern Equity. As a result of these deliberate federal planning policies, t</w:t>
      </w:r>
      <w:r w:rsidR="00674A02">
        <w:rPr>
          <w:rFonts w:ascii="Arial" w:hAnsi="Arial" w:cs="Arial"/>
        </w:rPr>
        <w:t>he predominately white suburbanites of that era saw a racial division between their counties and the City of Atlanta. A rail system, they feared, would threaten that division by making it easier for people of color to get</w:t>
      </w:r>
      <w:r w:rsidR="004D5C77">
        <w:rPr>
          <w:rFonts w:ascii="Arial" w:hAnsi="Arial" w:cs="Arial"/>
        </w:rPr>
        <w:t xml:space="preserve"> from Atlanta</w:t>
      </w:r>
      <w:r w:rsidR="00674A02">
        <w:rPr>
          <w:rFonts w:ascii="Arial" w:hAnsi="Arial" w:cs="Arial"/>
        </w:rPr>
        <w:t xml:space="preserve"> into the suburbs.</w:t>
      </w:r>
      <w:r w:rsidR="002C21D6">
        <w:rPr>
          <w:rFonts w:ascii="Arial" w:hAnsi="Arial" w:cs="Arial"/>
        </w:rPr>
        <w:t xml:space="preserve"> </w:t>
      </w:r>
    </w:p>
    <w:p w:rsidR="00674A02" w:rsidRDefault="004D5C77" w:rsidP="00F84990">
      <w:pPr>
        <w:spacing w:after="120" w:line="276" w:lineRule="auto"/>
        <w:rPr>
          <w:rFonts w:ascii="Arial" w:hAnsi="Arial" w:cs="Arial"/>
        </w:rPr>
      </w:pPr>
      <w:r>
        <w:rPr>
          <w:rFonts w:ascii="Arial" w:hAnsi="Arial" w:cs="Arial"/>
        </w:rPr>
        <w:t>Suburban</w:t>
      </w:r>
      <w:r w:rsidR="00674A02">
        <w:rPr>
          <w:rFonts w:ascii="Arial" w:hAnsi="Arial" w:cs="Arial"/>
        </w:rPr>
        <w:t xml:space="preserve"> residents were much more inclined to use the developing interstates, a system that aligned with their image of themselves as affluent and sophisticated. Cars were </w:t>
      </w:r>
      <w:r w:rsidR="0084577F">
        <w:rPr>
          <w:rFonts w:ascii="Arial" w:hAnsi="Arial" w:cs="Arial"/>
        </w:rPr>
        <w:t>(and still are</w:t>
      </w:r>
      <w:r>
        <w:rPr>
          <w:rFonts w:ascii="Arial" w:hAnsi="Arial" w:cs="Arial"/>
        </w:rPr>
        <w:t>, to some extent</w:t>
      </w:r>
      <w:r w:rsidR="0084577F">
        <w:rPr>
          <w:rFonts w:ascii="Arial" w:hAnsi="Arial" w:cs="Arial"/>
        </w:rPr>
        <w:t>) associated with wealth and status, while public transit is associated with being poor, working-class, and</w:t>
      </w:r>
      <w:r w:rsidR="00BB1769">
        <w:rPr>
          <w:rFonts w:ascii="Arial" w:hAnsi="Arial" w:cs="Arial"/>
        </w:rPr>
        <w:t xml:space="preserve"> from the</w:t>
      </w:r>
      <w:r w:rsidR="0084577F">
        <w:rPr>
          <w:rFonts w:ascii="Arial" w:hAnsi="Arial" w:cs="Arial"/>
        </w:rPr>
        <w:t xml:space="preserve"> inner city.</w:t>
      </w:r>
      <w:r w:rsidR="00674A02">
        <w:rPr>
          <w:rFonts w:ascii="Arial" w:hAnsi="Arial" w:cs="Arial"/>
        </w:rPr>
        <w:t xml:space="preserve"> But </w:t>
      </w:r>
      <w:r w:rsidR="00E1322D">
        <w:rPr>
          <w:rFonts w:ascii="Arial" w:hAnsi="Arial" w:cs="Arial"/>
        </w:rPr>
        <w:t>as Ronald H</w:t>
      </w:r>
      <w:r w:rsidR="00475677">
        <w:rPr>
          <w:rFonts w:ascii="Arial" w:hAnsi="Arial" w:cs="Arial"/>
        </w:rPr>
        <w:t>.</w:t>
      </w:r>
      <w:r w:rsidR="00E1322D">
        <w:rPr>
          <w:rFonts w:ascii="Arial" w:hAnsi="Arial" w:cs="Arial"/>
        </w:rPr>
        <w:t xml:space="preserve"> Bay</w:t>
      </w:r>
      <w:r w:rsidR="00475677">
        <w:rPr>
          <w:rFonts w:ascii="Arial" w:hAnsi="Arial" w:cs="Arial"/>
        </w:rPr>
        <w:t>o</w:t>
      </w:r>
      <w:r w:rsidR="00E1322D">
        <w:rPr>
          <w:rFonts w:ascii="Arial" w:hAnsi="Arial" w:cs="Arial"/>
        </w:rPr>
        <w:t xml:space="preserve">r observes in </w:t>
      </w:r>
      <w:r w:rsidR="00E1322D" w:rsidRPr="00E1322D">
        <w:rPr>
          <w:rFonts w:ascii="Arial" w:hAnsi="Arial" w:cs="Arial"/>
          <w:i/>
        </w:rPr>
        <w:t>Rac</w:t>
      </w:r>
      <w:r>
        <w:rPr>
          <w:rFonts w:ascii="Arial" w:hAnsi="Arial" w:cs="Arial"/>
          <w:i/>
        </w:rPr>
        <w:t>e and the Shaping of Twentieth-C</w:t>
      </w:r>
      <w:r w:rsidR="00E1322D" w:rsidRPr="00E1322D">
        <w:rPr>
          <w:rFonts w:ascii="Arial" w:hAnsi="Arial" w:cs="Arial"/>
          <w:i/>
        </w:rPr>
        <w:t>entury Atlanta</w:t>
      </w:r>
      <w:r w:rsidR="00E1322D">
        <w:rPr>
          <w:rFonts w:ascii="Arial" w:hAnsi="Arial" w:cs="Arial"/>
          <w:i/>
        </w:rPr>
        <w:t xml:space="preserve">, </w:t>
      </w:r>
      <w:r w:rsidR="00E1322D">
        <w:rPr>
          <w:rFonts w:ascii="Arial" w:hAnsi="Arial" w:cs="Arial"/>
        </w:rPr>
        <w:t>these interstates were designed to “serve a racial function” by literally concretizing the boundary between white and black neighborhoods. The very act of building these interstates cut through and demolished black communities in the ser</w:t>
      </w:r>
      <w:r>
        <w:rPr>
          <w:rFonts w:ascii="Arial" w:hAnsi="Arial" w:cs="Arial"/>
        </w:rPr>
        <w:t xml:space="preserve">vice of securing that boundary. Sweet Auburn, a neighborhood near downtown Atlanta where Dr. Martin Luther King, Jr., was born, caught the brunt of the effects of this racist interstate building project: the “downtown connector” (I-75/85) cuts right through the heart of this historically black neighborhood. </w:t>
      </w:r>
      <w:r w:rsidR="00400696">
        <w:rPr>
          <w:rFonts w:ascii="Arial" w:hAnsi="Arial" w:cs="Arial"/>
        </w:rPr>
        <w:t>T</w:t>
      </w:r>
      <w:r>
        <w:rPr>
          <w:rFonts w:ascii="Arial" w:hAnsi="Arial" w:cs="Arial"/>
        </w:rPr>
        <w:t>he interstate has created blight, v</w:t>
      </w:r>
      <w:r w:rsidR="003E1518">
        <w:rPr>
          <w:rFonts w:ascii="Arial" w:hAnsi="Arial" w:cs="Arial"/>
        </w:rPr>
        <w:t>acated buildings, and destroyed</w:t>
      </w:r>
      <w:r>
        <w:rPr>
          <w:rFonts w:ascii="Arial" w:hAnsi="Arial" w:cs="Arial"/>
        </w:rPr>
        <w:t xml:space="preserve"> infrastructure </w:t>
      </w:r>
      <w:r w:rsidR="00400696">
        <w:rPr>
          <w:rFonts w:ascii="Arial" w:hAnsi="Arial" w:cs="Arial"/>
        </w:rPr>
        <w:t>in a formerly thriving community</w:t>
      </w:r>
      <w:r>
        <w:rPr>
          <w:rFonts w:ascii="Arial" w:hAnsi="Arial" w:cs="Arial"/>
        </w:rPr>
        <w:t xml:space="preserve">. </w:t>
      </w:r>
      <w:r w:rsidR="003E1518">
        <w:rPr>
          <w:rFonts w:ascii="Arial" w:hAnsi="Arial" w:cs="Arial"/>
        </w:rPr>
        <w:t>Developing the</w:t>
      </w:r>
      <w:r w:rsidR="006F4401">
        <w:rPr>
          <w:rFonts w:ascii="Arial" w:hAnsi="Arial" w:cs="Arial"/>
        </w:rPr>
        <w:t xml:space="preserve"> highways in </w:t>
      </w:r>
      <w:r>
        <w:rPr>
          <w:rFonts w:ascii="Arial" w:hAnsi="Arial" w:cs="Arial"/>
        </w:rPr>
        <w:t>Sweet Auburn and other similar neighborhoods</w:t>
      </w:r>
      <w:r w:rsidR="006F4401">
        <w:rPr>
          <w:rFonts w:ascii="Arial" w:hAnsi="Arial" w:cs="Arial"/>
        </w:rPr>
        <w:t xml:space="preserve"> allowed those in power to limit the options of communities of color, demolishing their long-built communities</w:t>
      </w:r>
      <w:r w:rsidR="00400696">
        <w:rPr>
          <w:rFonts w:ascii="Arial" w:hAnsi="Arial" w:cs="Arial"/>
        </w:rPr>
        <w:t>, ensuring the only way to travel through these areas was by car (which discourages commerce and community),</w:t>
      </w:r>
      <w:r w:rsidR="006F4401">
        <w:rPr>
          <w:rFonts w:ascii="Arial" w:hAnsi="Arial" w:cs="Arial"/>
        </w:rPr>
        <w:t xml:space="preserve"> and further limiting their access to amenities </w:t>
      </w:r>
      <w:r w:rsidR="00E96672">
        <w:rPr>
          <w:rFonts w:ascii="Arial" w:hAnsi="Arial" w:cs="Arial"/>
        </w:rPr>
        <w:t xml:space="preserve">like </w:t>
      </w:r>
      <w:r w:rsidR="006F4401">
        <w:rPr>
          <w:rFonts w:ascii="Arial" w:hAnsi="Arial" w:cs="Arial"/>
        </w:rPr>
        <w:t xml:space="preserve">public transit. </w:t>
      </w:r>
    </w:p>
    <w:p w:rsidR="002C5F22" w:rsidRDefault="00E1322D" w:rsidP="00E1322D">
      <w:pPr>
        <w:spacing w:after="120" w:line="276" w:lineRule="auto"/>
        <w:rPr>
          <w:rFonts w:ascii="Arial" w:hAnsi="Arial" w:cs="Arial"/>
        </w:rPr>
      </w:pPr>
      <w:r>
        <w:rPr>
          <w:rFonts w:ascii="Arial" w:hAnsi="Arial" w:cs="Arial"/>
        </w:rPr>
        <w:t>These</w:t>
      </w:r>
      <w:r w:rsidR="00C64895">
        <w:rPr>
          <w:rFonts w:ascii="Arial" w:hAnsi="Arial" w:cs="Arial"/>
        </w:rPr>
        <w:t xml:space="preserve"> actions</w:t>
      </w:r>
      <w:r>
        <w:rPr>
          <w:rFonts w:ascii="Arial" w:hAnsi="Arial" w:cs="Arial"/>
        </w:rPr>
        <w:t xml:space="preserve"> </w:t>
      </w:r>
      <w:r w:rsidR="00C64895">
        <w:rPr>
          <w:rFonts w:ascii="Arial" w:hAnsi="Arial" w:cs="Arial"/>
        </w:rPr>
        <w:t xml:space="preserve">have </w:t>
      </w:r>
      <w:r>
        <w:rPr>
          <w:rFonts w:ascii="Arial" w:hAnsi="Arial" w:cs="Arial"/>
        </w:rPr>
        <w:t>create</w:t>
      </w:r>
      <w:r w:rsidR="00C64895">
        <w:rPr>
          <w:rFonts w:ascii="Arial" w:hAnsi="Arial" w:cs="Arial"/>
        </w:rPr>
        <w:t>d</w:t>
      </w:r>
      <w:r>
        <w:rPr>
          <w:rFonts w:ascii="Arial" w:hAnsi="Arial" w:cs="Arial"/>
        </w:rPr>
        <w:t xml:space="preserve"> metro traffic conditions that have hamstringed the city</w:t>
      </w:r>
      <w:r w:rsidR="00C64895">
        <w:rPr>
          <w:rFonts w:ascii="Arial" w:hAnsi="Arial" w:cs="Arial"/>
        </w:rPr>
        <w:t xml:space="preserve"> and limited </w:t>
      </w:r>
      <w:r w:rsidR="006F4401">
        <w:rPr>
          <w:rFonts w:ascii="Arial" w:hAnsi="Arial" w:cs="Arial"/>
        </w:rPr>
        <w:t>options for sustainable growth</w:t>
      </w:r>
      <w:r>
        <w:rPr>
          <w:rFonts w:ascii="Arial" w:hAnsi="Arial" w:cs="Arial"/>
        </w:rPr>
        <w:t xml:space="preserve">. And yet, today, </w:t>
      </w:r>
      <w:r w:rsidR="00400696">
        <w:rPr>
          <w:rFonts w:ascii="Arial" w:hAnsi="Arial" w:cs="Arial"/>
        </w:rPr>
        <w:t xml:space="preserve">suburban </w:t>
      </w:r>
      <w:r>
        <w:rPr>
          <w:rFonts w:ascii="Arial" w:hAnsi="Arial" w:cs="Arial"/>
        </w:rPr>
        <w:t>Atlantans continue to vote against the expansion of MARTA</w:t>
      </w:r>
      <w:r w:rsidR="007708C5">
        <w:rPr>
          <w:rFonts w:ascii="Arial" w:hAnsi="Arial" w:cs="Arial"/>
        </w:rPr>
        <w:t>, instead opting for congested roads</w:t>
      </w:r>
      <w:r>
        <w:rPr>
          <w:rFonts w:ascii="Arial" w:hAnsi="Arial" w:cs="Arial"/>
        </w:rPr>
        <w:t xml:space="preserve">. Rather than viewing the system as a way to decrease congestion and air pollution, </w:t>
      </w:r>
      <w:r w:rsidR="001F3363">
        <w:rPr>
          <w:rFonts w:ascii="Arial" w:hAnsi="Arial" w:cs="Arial"/>
        </w:rPr>
        <w:t xml:space="preserve">many continue to associate </w:t>
      </w:r>
      <w:r>
        <w:rPr>
          <w:rFonts w:ascii="Arial" w:hAnsi="Arial" w:cs="Arial"/>
        </w:rPr>
        <w:t>the MARTA with poor people of color</w:t>
      </w:r>
      <w:r w:rsidR="001F3363">
        <w:rPr>
          <w:rFonts w:ascii="Arial" w:hAnsi="Arial" w:cs="Arial"/>
        </w:rPr>
        <w:t xml:space="preserve">. This prejudiced perspective fuels </w:t>
      </w:r>
      <w:r>
        <w:rPr>
          <w:rFonts w:ascii="Arial" w:hAnsi="Arial" w:cs="Arial"/>
        </w:rPr>
        <w:t xml:space="preserve">continuing resistance to a </w:t>
      </w:r>
      <w:r w:rsidR="001F3363">
        <w:rPr>
          <w:rFonts w:ascii="Arial" w:hAnsi="Arial" w:cs="Arial"/>
        </w:rPr>
        <w:t xml:space="preserve">more encompassing </w:t>
      </w:r>
      <w:r w:rsidR="002C5F22">
        <w:rPr>
          <w:rFonts w:ascii="Arial" w:hAnsi="Arial" w:cs="Arial"/>
        </w:rPr>
        <w:t>transit system</w:t>
      </w:r>
      <w:r>
        <w:rPr>
          <w:rFonts w:ascii="Arial" w:hAnsi="Arial" w:cs="Arial"/>
        </w:rPr>
        <w:t xml:space="preserve">. The effects </w:t>
      </w:r>
      <w:r w:rsidR="001F3363">
        <w:rPr>
          <w:rFonts w:ascii="Arial" w:hAnsi="Arial" w:cs="Arial"/>
        </w:rPr>
        <w:t xml:space="preserve">of that prejudice </w:t>
      </w:r>
      <w:r>
        <w:rPr>
          <w:rFonts w:ascii="Arial" w:hAnsi="Arial" w:cs="Arial"/>
        </w:rPr>
        <w:t>on Atlanta’s economy, air pollution</w:t>
      </w:r>
      <w:r w:rsidR="00083B19">
        <w:rPr>
          <w:rFonts w:ascii="Arial" w:hAnsi="Arial" w:cs="Arial"/>
        </w:rPr>
        <w:t>, and national reputation are as</w:t>
      </w:r>
      <w:r>
        <w:rPr>
          <w:rFonts w:ascii="Arial" w:hAnsi="Arial" w:cs="Arial"/>
        </w:rPr>
        <w:t xml:space="preserve"> unpleasant as the racism </w:t>
      </w:r>
      <w:r w:rsidR="001F3363">
        <w:rPr>
          <w:rFonts w:ascii="Arial" w:hAnsi="Arial" w:cs="Arial"/>
        </w:rPr>
        <w:t xml:space="preserve">that created the </w:t>
      </w:r>
      <w:r>
        <w:rPr>
          <w:rFonts w:ascii="Arial" w:hAnsi="Arial" w:cs="Arial"/>
        </w:rPr>
        <w:t xml:space="preserve">problem in the first place. </w:t>
      </w:r>
    </w:p>
    <w:p w:rsidR="00E1322D" w:rsidRDefault="002C5F22" w:rsidP="00E1322D">
      <w:pPr>
        <w:spacing w:after="120" w:line="276" w:lineRule="auto"/>
        <w:rPr>
          <w:rFonts w:ascii="Arial" w:hAnsi="Arial" w:cs="Arial"/>
        </w:rPr>
      </w:pPr>
      <w:r>
        <w:rPr>
          <w:rFonts w:ascii="Arial" w:hAnsi="Arial" w:cs="Arial"/>
        </w:rPr>
        <w:t>This may change in the near future: the Partnership for Southern Equity notes that “regional demographics are shifting as the same neighborhoods in the City of Atlanta that were previously abandoned by the affluent are facing gentrification and displacement pressures,” with poverty subsequently becoming more suburbanized than in years past: what the Partnership calls “a demographic inversion.”  Regardless of what paths the future may take, it is important that we do not repeat the patterns of years past; a focus on racial equity, or an insistence that all people are able to access rights like mobility and public transportation, regardless of their race or ethnicity. It is only then that we can begin to right the wrongs of planning decisions of years past.</w:t>
      </w:r>
    </w:p>
    <w:p w:rsidR="00E37202" w:rsidRPr="00E37202" w:rsidRDefault="00E37202" w:rsidP="00E37202">
      <w:pPr>
        <w:spacing w:after="120" w:line="276" w:lineRule="auto"/>
        <w:ind w:left="720" w:hanging="720"/>
        <w:rPr>
          <w:rFonts w:ascii="Arial" w:hAnsi="Arial" w:cs="Arial"/>
          <w:b/>
        </w:rPr>
      </w:pPr>
      <w:r w:rsidRPr="00E37202">
        <w:rPr>
          <w:rFonts w:ascii="Arial" w:hAnsi="Arial" w:cs="Arial"/>
          <w:b/>
        </w:rPr>
        <w:t>Works Cited</w:t>
      </w:r>
    </w:p>
    <w:p w:rsidR="00E1322D" w:rsidRPr="00044A9C" w:rsidRDefault="00E1322D" w:rsidP="00E1322D">
      <w:pPr>
        <w:spacing w:after="120" w:line="276" w:lineRule="auto"/>
        <w:ind w:left="720" w:hanging="720"/>
        <w:rPr>
          <w:rFonts w:ascii="Arial" w:hAnsi="Arial" w:cs="Arial"/>
        </w:rPr>
      </w:pPr>
      <w:r w:rsidRPr="00E1322D">
        <w:rPr>
          <w:rFonts w:ascii="Arial" w:hAnsi="Arial" w:cs="Arial"/>
        </w:rPr>
        <w:t>Bayor, Ronald H.</w:t>
      </w:r>
      <w:r w:rsidR="0044357F">
        <w:rPr>
          <w:rFonts w:ascii="Arial" w:hAnsi="Arial" w:cs="Arial"/>
        </w:rPr>
        <w:t xml:space="preserve"> (1996)</w:t>
      </w:r>
      <w:r w:rsidRPr="00E1322D">
        <w:rPr>
          <w:rFonts w:ascii="Arial" w:hAnsi="Arial" w:cs="Arial"/>
        </w:rPr>
        <w:t xml:space="preserve"> </w:t>
      </w:r>
      <w:r w:rsidRPr="00E1322D">
        <w:rPr>
          <w:rFonts w:ascii="Arial" w:hAnsi="Arial" w:cs="Arial"/>
          <w:i/>
        </w:rPr>
        <w:t>Race and the Shaping of Twentieth-century Atlanta.</w:t>
      </w:r>
      <w:r w:rsidRPr="00E1322D">
        <w:rPr>
          <w:rFonts w:ascii="Arial" w:hAnsi="Arial" w:cs="Arial"/>
        </w:rPr>
        <w:t xml:space="preserve"> The Fred W. Morrison Series in Southern Studies. Chapel Hill: Universit</w:t>
      </w:r>
      <w:r w:rsidR="0044357F">
        <w:rPr>
          <w:rFonts w:ascii="Arial" w:hAnsi="Arial" w:cs="Arial"/>
        </w:rPr>
        <w:t>y of North Carolina Press.</w:t>
      </w:r>
    </w:p>
    <w:p w:rsidR="002C5F22" w:rsidRDefault="00C33FF3" w:rsidP="00F84990">
      <w:pPr>
        <w:spacing w:after="120" w:line="276" w:lineRule="auto"/>
        <w:ind w:left="720" w:hanging="720"/>
        <w:rPr>
          <w:rFonts w:ascii="Arial" w:hAnsi="Arial" w:cs="Arial"/>
          <w:i/>
        </w:rPr>
      </w:pPr>
      <w:r>
        <w:rPr>
          <w:rFonts w:ascii="Arial" w:hAnsi="Arial" w:cs="Arial"/>
        </w:rPr>
        <w:t xml:space="preserve">Monroe, Doug. </w:t>
      </w:r>
      <w:r w:rsidR="0044357F">
        <w:rPr>
          <w:rFonts w:ascii="Arial" w:hAnsi="Arial" w:cs="Arial"/>
        </w:rPr>
        <w:t>(2012</w:t>
      </w:r>
      <w:r w:rsidR="00532B32" w:rsidRPr="00044A9C">
        <w:rPr>
          <w:rFonts w:ascii="Arial" w:hAnsi="Arial" w:cs="Arial"/>
        </w:rPr>
        <w:t xml:space="preserve">). </w:t>
      </w:r>
      <w:hyperlink r:id="rId21" w:history="1">
        <w:r w:rsidR="00532B32" w:rsidRPr="0044357F">
          <w:rPr>
            <w:rStyle w:val="Hyperlink"/>
            <w:rFonts w:ascii="Arial" w:hAnsi="Arial" w:cs="Arial"/>
          </w:rPr>
          <w:t>Where It All Went Wrong</w:t>
        </w:r>
      </w:hyperlink>
      <w:r w:rsidR="00532B32" w:rsidRPr="00044A9C">
        <w:rPr>
          <w:rFonts w:ascii="Arial" w:hAnsi="Arial" w:cs="Arial"/>
        </w:rPr>
        <w:t xml:space="preserve">. </w:t>
      </w:r>
      <w:r w:rsidR="00532B32" w:rsidRPr="00044A9C">
        <w:rPr>
          <w:rFonts w:ascii="Arial" w:hAnsi="Arial" w:cs="Arial"/>
          <w:i/>
        </w:rPr>
        <w:t xml:space="preserve">Atlanta Magazine. </w:t>
      </w:r>
    </w:p>
    <w:p w:rsidR="00852028" w:rsidRDefault="002C5F22" w:rsidP="00F84990">
      <w:pPr>
        <w:spacing w:after="120" w:line="276" w:lineRule="auto"/>
        <w:ind w:left="720" w:hanging="720"/>
        <w:rPr>
          <w:rFonts w:ascii="Arial" w:hAnsi="Arial" w:cs="Arial"/>
        </w:rPr>
      </w:pPr>
      <w:r>
        <w:rPr>
          <w:rFonts w:ascii="Arial" w:hAnsi="Arial" w:cs="Arial"/>
        </w:rPr>
        <w:t xml:space="preserve">Partnership for Southern Equity. (2017). </w:t>
      </w:r>
      <w:hyperlink r:id="rId22" w:history="1">
        <w:r w:rsidRPr="002C5F22">
          <w:rPr>
            <w:rStyle w:val="Hyperlink"/>
            <w:rFonts w:ascii="Arial" w:hAnsi="Arial" w:cs="Arial"/>
          </w:rPr>
          <w:t>Opportunity Deferred: Race, Transportation, and the Future of Metropolitan Atlanta</w:t>
        </w:r>
      </w:hyperlink>
      <w:r>
        <w:rPr>
          <w:rFonts w:ascii="Arial" w:hAnsi="Arial" w:cs="Arial"/>
        </w:rPr>
        <w:t>. Partnership for Southern Equity.</w:t>
      </w:r>
    </w:p>
    <w:p w:rsidR="00907435" w:rsidRPr="002C5F22" w:rsidRDefault="00852028" w:rsidP="00F84990">
      <w:pPr>
        <w:spacing w:after="120" w:line="276" w:lineRule="auto"/>
        <w:ind w:left="720" w:hanging="720"/>
        <w:rPr>
          <w:rFonts w:ascii="Arial" w:hAnsi="Arial" w:cs="Arial"/>
        </w:rPr>
      </w:pPr>
      <w:r>
        <w:rPr>
          <w:rFonts w:ascii="Arial" w:hAnsi="Arial" w:cs="Arial"/>
        </w:rPr>
        <w:t xml:space="preserve">Video: </w:t>
      </w:r>
      <w:hyperlink r:id="rId23" w:history="1">
        <w:r w:rsidRPr="00852028">
          <w:rPr>
            <w:rStyle w:val="Hyperlink"/>
            <w:rFonts w:ascii="Arial" w:hAnsi="Arial" w:cs="Arial"/>
          </w:rPr>
          <w:t>Race, Space, and Opportunity: A Tale of Two Regions</w:t>
        </w:r>
      </w:hyperlink>
      <w:r>
        <w:rPr>
          <w:rFonts w:ascii="Arial" w:hAnsi="Arial" w:cs="Arial"/>
        </w:rPr>
        <w:t>. (2017). Serve-Learn-Sustain with Partnership for Southern Equity.</w:t>
      </w:r>
    </w:p>
    <w:p w:rsidR="00FA21D2" w:rsidRPr="006271DC" w:rsidRDefault="0000455E" w:rsidP="00F84990">
      <w:pPr>
        <w:pStyle w:val="Heading2"/>
        <w:spacing w:before="240" w:after="240" w:line="276" w:lineRule="auto"/>
        <w:rPr>
          <w:rFonts w:ascii="Georgia" w:hAnsi="Georgia"/>
          <w:b/>
          <w:color w:val="auto"/>
          <w:sz w:val="28"/>
          <w:szCs w:val="28"/>
        </w:rPr>
      </w:pPr>
      <w:r>
        <w:rPr>
          <w:rFonts w:ascii="Georgia" w:hAnsi="Georgia"/>
          <w:b/>
          <w:color w:val="auto"/>
          <w:sz w:val="28"/>
          <w:szCs w:val="28"/>
        </w:rPr>
        <w:t>Dakota Access Pipeline</w:t>
      </w:r>
      <w:r w:rsidR="003E1518">
        <w:rPr>
          <w:rFonts w:ascii="Georgia" w:hAnsi="Georgia"/>
          <w:b/>
          <w:color w:val="auto"/>
          <w:sz w:val="28"/>
          <w:szCs w:val="28"/>
        </w:rPr>
        <w:t xml:space="preserve"> Protests and Construction</w:t>
      </w:r>
      <w:r w:rsidR="00587420">
        <w:rPr>
          <w:rFonts w:ascii="Georgia" w:hAnsi="Georgia"/>
          <w:b/>
          <w:color w:val="auto"/>
          <w:sz w:val="28"/>
          <w:szCs w:val="28"/>
        </w:rPr>
        <w:t xml:space="preserve"> </w:t>
      </w:r>
      <w:r w:rsidR="003E1518">
        <w:rPr>
          <w:rFonts w:ascii="Georgia" w:hAnsi="Georgia"/>
          <w:b/>
          <w:color w:val="auto"/>
          <w:sz w:val="28"/>
          <w:szCs w:val="28"/>
        </w:rPr>
        <w:t>(9 min video</w:t>
      </w:r>
      <w:r w:rsidR="002218E4" w:rsidRPr="006271DC">
        <w:rPr>
          <w:rFonts w:ascii="Georgia" w:hAnsi="Georgia"/>
          <w:b/>
          <w:color w:val="auto"/>
          <w:sz w:val="28"/>
          <w:szCs w:val="28"/>
        </w:rPr>
        <w:t>)</w:t>
      </w:r>
    </w:p>
    <w:p w:rsidR="001967EF" w:rsidRDefault="0053042E" w:rsidP="001967EF">
      <w:pPr>
        <w:spacing w:after="120" w:line="276" w:lineRule="auto"/>
        <w:rPr>
          <w:rFonts w:ascii="Arial" w:hAnsi="Arial" w:cs="Arial"/>
        </w:rPr>
      </w:pPr>
      <w:r>
        <w:rPr>
          <w:rFonts w:ascii="Arial" w:hAnsi="Arial" w:cs="Arial"/>
          <w:noProof/>
        </w:rPr>
        <w:drawing>
          <wp:anchor distT="0" distB="0" distL="114300" distR="114300" simplePos="0" relativeHeight="251669504" behindDoc="0" locked="0" layoutInCell="1" allowOverlap="1">
            <wp:simplePos x="0" y="0"/>
            <wp:positionH relativeFrom="column">
              <wp:posOffset>3086100</wp:posOffset>
            </wp:positionH>
            <wp:positionV relativeFrom="paragraph">
              <wp:posOffset>2480310</wp:posOffset>
            </wp:positionV>
            <wp:extent cx="2628900" cy="1485900"/>
            <wp:effectExtent l="25400" t="0" r="0" b="0"/>
            <wp:wrapSquare wrapText="bothSides"/>
            <wp:docPr id="15" name="Picture 5" descr="Macintosh HD:Users:mollyslavin:Desktop:dap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mollyslavin:Desktop:dapl.jpeg"/>
                    <pic:cNvPicPr>
                      <a:picLocks noChangeAspect="1" noChangeArrowheads="1"/>
                    </pic:cNvPicPr>
                  </pic:nvPicPr>
                  <pic:blipFill>
                    <a:blip r:embed="rId24"/>
                    <a:srcRect/>
                    <a:stretch>
                      <a:fillRect/>
                    </a:stretch>
                  </pic:blipFill>
                  <pic:spPr bwMode="auto">
                    <a:xfrm>
                      <a:off x="0" y="0"/>
                      <a:ext cx="2628900" cy="1485900"/>
                    </a:xfrm>
                    <a:prstGeom prst="rect">
                      <a:avLst/>
                    </a:prstGeom>
                    <a:noFill/>
                    <a:ln w="9525">
                      <a:noFill/>
                      <a:miter lim="800000"/>
                      <a:headEnd/>
                      <a:tailEnd/>
                    </a:ln>
                  </pic:spPr>
                </pic:pic>
              </a:graphicData>
            </a:graphic>
          </wp:anchor>
        </w:drawing>
      </w:r>
      <w:r w:rsidR="00C62F36">
        <w:rPr>
          <w:rFonts w:ascii="Arial" w:hAnsi="Arial" w:cs="Arial"/>
        </w:rPr>
        <w:t xml:space="preserve">One of the largest sustainability issues of the twenty-first century so far has been the Dakota Access Pipeline, </w:t>
      </w:r>
      <w:r w:rsidR="004120C5">
        <w:rPr>
          <w:rFonts w:ascii="Arial" w:hAnsi="Arial" w:cs="Arial"/>
        </w:rPr>
        <w:t xml:space="preserve">an oil pipeline that reaches from North Dakota to Illinois. </w:t>
      </w:r>
      <w:r w:rsidR="001967EF">
        <w:rPr>
          <w:rFonts w:ascii="Arial" w:hAnsi="Arial" w:cs="Arial"/>
        </w:rPr>
        <w:t>The</w:t>
      </w:r>
      <w:r w:rsidR="004120C5">
        <w:rPr>
          <w:rFonts w:ascii="Arial" w:hAnsi="Arial" w:cs="Arial"/>
        </w:rPr>
        <w:t>re were immediate issues identified: not only does the pipeline do nothing to move the United States away from non-sustainable r</w:t>
      </w:r>
      <w:r w:rsidR="00774679">
        <w:rPr>
          <w:rFonts w:ascii="Arial" w:hAnsi="Arial" w:cs="Arial"/>
        </w:rPr>
        <w:t>esources like oil,</w:t>
      </w:r>
      <w:r w:rsidR="004120C5">
        <w:rPr>
          <w:rFonts w:ascii="Arial" w:hAnsi="Arial" w:cs="Arial"/>
        </w:rPr>
        <w:t xml:space="preserve"> continue</w:t>
      </w:r>
      <w:r w:rsidR="00774679">
        <w:rPr>
          <w:rFonts w:ascii="Arial" w:hAnsi="Arial" w:cs="Arial"/>
        </w:rPr>
        <w:t>s</w:t>
      </w:r>
      <w:r w:rsidR="004120C5">
        <w:rPr>
          <w:rFonts w:ascii="Arial" w:hAnsi="Arial" w:cs="Arial"/>
        </w:rPr>
        <w:t xml:space="preserve"> to prop up environmentally-unfriendly industries like drilling and fracking,</w:t>
      </w:r>
      <w:r w:rsidR="00774679">
        <w:rPr>
          <w:rFonts w:ascii="Arial" w:hAnsi="Arial" w:cs="Arial"/>
        </w:rPr>
        <w:t xml:space="preserve"> and presents a danger of contaminating sources of drinking water,</w:t>
      </w:r>
      <w:r w:rsidR="004120C5">
        <w:rPr>
          <w:rFonts w:ascii="Arial" w:hAnsi="Arial" w:cs="Arial"/>
        </w:rPr>
        <w:t xml:space="preserve"> the</w:t>
      </w:r>
      <w:r w:rsidR="001967EF">
        <w:rPr>
          <w:rFonts w:ascii="Arial" w:hAnsi="Arial" w:cs="Arial"/>
        </w:rPr>
        <w:t xml:space="preserve"> Dakota Access Pipeline</w:t>
      </w:r>
      <w:r w:rsidR="004120C5">
        <w:rPr>
          <w:rFonts w:ascii="Arial" w:hAnsi="Arial" w:cs="Arial"/>
        </w:rPr>
        <w:t xml:space="preserve"> (DAPL)</w:t>
      </w:r>
      <w:r w:rsidR="001967EF">
        <w:rPr>
          <w:rFonts w:ascii="Arial" w:hAnsi="Arial" w:cs="Arial"/>
        </w:rPr>
        <w:t xml:space="preserve"> cuts through tribal, sojourn, and,</w:t>
      </w:r>
      <w:r w:rsidR="004120C5">
        <w:rPr>
          <w:rFonts w:ascii="Arial" w:hAnsi="Arial" w:cs="Arial"/>
        </w:rPr>
        <w:t xml:space="preserve"> in some cases, ceremonial land belonging to Sioux tribal nations resident in the areas affected. Besides DAPL’s contributions to climate change, i</w:t>
      </w:r>
      <w:r w:rsidR="001967EF">
        <w:rPr>
          <w:rFonts w:ascii="Arial" w:hAnsi="Arial" w:cs="Arial"/>
        </w:rPr>
        <w:t>ts construction continues the erosion of Native</w:t>
      </w:r>
      <w:r w:rsidR="004120C5">
        <w:rPr>
          <w:rFonts w:ascii="Arial" w:hAnsi="Arial" w:cs="Arial"/>
        </w:rPr>
        <w:t xml:space="preserve"> American power of tribal land, begun with the arrival of white Europeans in the United States and continued apace throughout the centuries.</w:t>
      </w:r>
    </w:p>
    <w:p w:rsidR="001967EF" w:rsidRDefault="0020309A" w:rsidP="001967EF">
      <w:pPr>
        <w:spacing w:after="120" w:line="276" w:lineRule="auto"/>
        <w:rPr>
          <w:rFonts w:ascii="Arial" w:hAnsi="Arial" w:cs="Arial"/>
        </w:rPr>
      </w:pPr>
      <w:r w:rsidRPr="0020309A">
        <w:rPr>
          <w:noProof/>
        </w:rPr>
        <w:pict>
          <v:shape id="_x0000_s1036" type="#_x0000_t202" style="position:absolute;margin-left:241.65pt;margin-top:132.5pt;width:226pt;height:31.5pt;z-index:251672576;mso-position-horizontal:absolute;mso-position-horizontal-relative:text;mso-position-vertical:absolute;mso-position-vertical-relative:text" filled="f" stroked="f">
            <v:fill o:detectmouseclick="t"/>
            <v:textbox style="mso-fit-shape-to-text:t" inset="0,0,0,0">
              <w:txbxContent>
                <w:p w:rsidR="001E1E61" w:rsidRPr="006A1A64" w:rsidRDefault="001E1E61" w:rsidP="006A1A64">
                  <w:pPr>
                    <w:pStyle w:val="Caption"/>
                    <w:rPr>
                      <w:rFonts w:ascii="Arial" w:hAnsi="Arial"/>
                      <w:b w:val="0"/>
                      <w:color w:val="auto"/>
                    </w:rPr>
                  </w:pPr>
                  <w:r w:rsidRPr="006A1A64">
                    <w:rPr>
                      <w:rFonts w:ascii="Arial" w:hAnsi="Arial"/>
                      <w:b w:val="0"/>
                      <w:color w:val="auto"/>
                    </w:rPr>
                    <w:t xml:space="preserve">Figure </w:t>
                  </w:r>
                  <w:r w:rsidR="0020309A" w:rsidRPr="006A1A64">
                    <w:rPr>
                      <w:rFonts w:ascii="Arial" w:hAnsi="Arial"/>
                      <w:b w:val="0"/>
                      <w:color w:val="auto"/>
                    </w:rPr>
                    <w:fldChar w:fldCharType="begin"/>
                  </w:r>
                  <w:r w:rsidRPr="006A1A64">
                    <w:rPr>
                      <w:rFonts w:ascii="Arial" w:hAnsi="Arial"/>
                      <w:b w:val="0"/>
                      <w:color w:val="auto"/>
                    </w:rPr>
                    <w:instrText xml:space="preserve"> SEQ Figure \* ARABIC </w:instrText>
                  </w:r>
                  <w:r w:rsidR="0020309A" w:rsidRPr="006A1A64">
                    <w:rPr>
                      <w:rFonts w:ascii="Arial" w:hAnsi="Arial"/>
                      <w:b w:val="0"/>
                      <w:color w:val="auto"/>
                    </w:rPr>
                    <w:fldChar w:fldCharType="separate"/>
                  </w:r>
                  <w:r>
                    <w:rPr>
                      <w:rFonts w:ascii="Arial" w:hAnsi="Arial"/>
                      <w:b w:val="0"/>
                      <w:noProof/>
                      <w:color w:val="auto"/>
                    </w:rPr>
                    <w:t>4</w:t>
                  </w:r>
                  <w:r w:rsidR="0020309A" w:rsidRPr="006A1A64">
                    <w:rPr>
                      <w:rFonts w:ascii="Arial" w:hAnsi="Arial"/>
                      <w:b w:val="0"/>
                      <w:color w:val="auto"/>
                    </w:rPr>
                    <w:fldChar w:fldCharType="end"/>
                  </w:r>
                  <w:r w:rsidRPr="006A1A64">
                    <w:rPr>
                      <w:rFonts w:ascii="Arial" w:hAnsi="Arial"/>
                      <w:b w:val="0"/>
                      <w:color w:val="auto"/>
                    </w:rPr>
                    <w:t>, Protestors at Standing Rock, medium.com</w:t>
                  </w:r>
                </w:p>
              </w:txbxContent>
            </v:textbox>
            <w10:wrap type="square"/>
          </v:shape>
        </w:pict>
      </w:r>
      <w:r w:rsidR="004120C5">
        <w:rPr>
          <w:rFonts w:ascii="Arial" w:hAnsi="Arial" w:cs="Arial"/>
        </w:rPr>
        <w:t>The intertwined issues of sustainability and respect for indigenous rights came together in sustained protests against the pipeline that reached wide p</w:t>
      </w:r>
      <w:r w:rsidR="00774679">
        <w:rPr>
          <w:rFonts w:ascii="Arial" w:hAnsi="Arial" w:cs="Arial"/>
        </w:rPr>
        <w:t>ublic knowledge in late 2016</w:t>
      </w:r>
      <w:r w:rsidR="004120C5">
        <w:rPr>
          <w:rFonts w:ascii="Arial" w:hAnsi="Arial" w:cs="Arial"/>
        </w:rPr>
        <w:t xml:space="preserve">. </w:t>
      </w:r>
      <w:r w:rsidR="00587420">
        <w:rPr>
          <w:rFonts w:ascii="Arial" w:hAnsi="Arial" w:cs="Arial"/>
        </w:rPr>
        <w:t>After years of protests at Standing Rock, the Obama Administration halted the Dakota Access Pipeline project on the Standing Rock Sioux Tribal Land in</w:t>
      </w:r>
      <w:r w:rsidR="00774679">
        <w:rPr>
          <w:rFonts w:ascii="Arial" w:hAnsi="Arial" w:cs="Arial"/>
        </w:rPr>
        <w:t xml:space="preserve"> November</w:t>
      </w:r>
      <w:r w:rsidR="00587420">
        <w:rPr>
          <w:rFonts w:ascii="Arial" w:hAnsi="Arial" w:cs="Arial"/>
        </w:rPr>
        <w:t xml:space="preserve"> 2016. A few days into President Trump’s administration, Trump signed an executive order to speed along the permitting process for DAPL. </w:t>
      </w:r>
      <w:r w:rsidR="00CC5CD1">
        <w:rPr>
          <w:rFonts w:ascii="Arial" w:hAnsi="Arial" w:cs="Arial"/>
        </w:rPr>
        <w:t>This video views some of the political and judicial events over the protest period</w:t>
      </w:r>
      <w:r w:rsidR="002C2CDF">
        <w:rPr>
          <w:rFonts w:ascii="Arial" w:hAnsi="Arial" w:cs="Arial"/>
        </w:rPr>
        <w:t>, including the lawsuit that was filed by the Standing Rock Sioux Tribe stating that proper procedures for permitting were not enacted</w:t>
      </w:r>
      <w:r w:rsidR="00FA21D2" w:rsidRPr="00FA21D2">
        <w:rPr>
          <w:rFonts w:ascii="Arial" w:hAnsi="Arial" w:cs="Arial"/>
        </w:rPr>
        <w:t>.</w:t>
      </w:r>
      <w:r w:rsidR="00CC5CD1">
        <w:rPr>
          <w:rFonts w:ascii="Arial" w:hAnsi="Arial" w:cs="Arial"/>
        </w:rPr>
        <w:t xml:space="preserve"> </w:t>
      </w:r>
      <w:r w:rsidR="004120C5">
        <w:rPr>
          <w:rFonts w:ascii="Arial" w:hAnsi="Arial" w:cs="Arial"/>
        </w:rPr>
        <w:t>The construction of the pipeline, completed in April 2017, is another link in a long chain of Native American dispossession by the United States federal government by continuing to ignore local needs and Native history.</w:t>
      </w:r>
    </w:p>
    <w:p w:rsidR="00E37202" w:rsidRPr="00E37202" w:rsidRDefault="00E37202" w:rsidP="001967EF">
      <w:pPr>
        <w:spacing w:after="120" w:line="276" w:lineRule="auto"/>
        <w:rPr>
          <w:rFonts w:ascii="Arial" w:hAnsi="Arial" w:cs="Arial"/>
          <w:b/>
        </w:rPr>
      </w:pPr>
      <w:r w:rsidRPr="00E37202">
        <w:rPr>
          <w:rFonts w:ascii="Arial" w:hAnsi="Arial" w:cs="Arial"/>
          <w:b/>
        </w:rPr>
        <w:t>Works Cited</w:t>
      </w:r>
    </w:p>
    <w:p w:rsidR="00EF64AA" w:rsidRDefault="00C33FF3" w:rsidP="001F3363">
      <w:pPr>
        <w:spacing w:after="120" w:line="276" w:lineRule="auto"/>
        <w:ind w:left="720" w:hanging="720"/>
        <w:rPr>
          <w:rFonts w:ascii="Arial" w:hAnsi="Arial" w:cs="Arial"/>
        </w:rPr>
      </w:pPr>
      <w:r>
        <w:rPr>
          <w:rFonts w:ascii="Arial" w:hAnsi="Arial" w:cs="Arial"/>
        </w:rPr>
        <w:t>No Author. (2017</w:t>
      </w:r>
      <w:r w:rsidR="00FB594B">
        <w:rPr>
          <w:rFonts w:ascii="Arial" w:hAnsi="Arial" w:cs="Arial"/>
        </w:rPr>
        <w:t xml:space="preserve">). </w:t>
      </w:r>
      <w:hyperlink r:id="rId25" w:history="1">
        <w:r w:rsidR="00FB594B" w:rsidRPr="00C33FF3">
          <w:rPr>
            <w:rStyle w:val="Hyperlink"/>
            <w:rFonts w:ascii="Arial" w:hAnsi="Arial" w:cs="Arial"/>
          </w:rPr>
          <w:t>Despite Protests, Dakota Access Pipeline Nears Completion. YouTube</w:t>
        </w:r>
      </w:hyperlink>
      <w:r w:rsidR="00FB594B">
        <w:rPr>
          <w:rFonts w:ascii="Arial" w:hAnsi="Arial" w:cs="Arial"/>
        </w:rPr>
        <w:t xml:space="preserve">. </w:t>
      </w:r>
      <w:r>
        <w:rPr>
          <w:rFonts w:ascii="Arial" w:hAnsi="Arial" w:cs="Arial"/>
        </w:rPr>
        <w:t>PBS NewsHour.</w:t>
      </w:r>
      <w:r w:rsidR="00E96672">
        <w:rPr>
          <w:rFonts w:ascii="Arial" w:hAnsi="Arial" w:cs="Arial"/>
        </w:rPr>
        <w:t xml:space="preserve"> </w:t>
      </w:r>
    </w:p>
    <w:p w:rsidR="00EF64AA" w:rsidRDefault="00EF64AA" w:rsidP="001F3363">
      <w:pPr>
        <w:spacing w:after="120" w:line="276" w:lineRule="auto"/>
        <w:ind w:left="720" w:hanging="720"/>
        <w:rPr>
          <w:rFonts w:ascii="Arial" w:hAnsi="Arial" w:cs="Arial"/>
        </w:rPr>
      </w:pPr>
    </w:p>
    <w:p w:rsidR="00EF64AA" w:rsidRDefault="00EF64AA" w:rsidP="001F3363">
      <w:pPr>
        <w:spacing w:after="120" w:line="276" w:lineRule="auto"/>
        <w:ind w:left="720" w:hanging="720"/>
        <w:rPr>
          <w:rFonts w:ascii="Arial" w:hAnsi="Arial" w:cs="Arial"/>
        </w:rPr>
      </w:pPr>
    </w:p>
    <w:p w:rsidR="00EF64AA" w:rsidRDefault="00EF64AA" w:rsidP="001F3363">
      <w:pPr>
        <w:spacing w:after="120" w:line="276" w:lineRule="auto"/>
        <w:ind w:left="720" w:hanging="720"/>
        <w:rPr>
          <w:rFonts w:ascii="Arial" w:hAnsi="Arial" w:cs="Arial"/>
        </w:rPr>
      </w:pPr>
    </w:p>
    <w:p w:rsidR="00EF64AA" w:rsidRDefault="00EF64AA" w:rsidP="001F3363">
      <w:pPr>
        <w:spacing w:after="120" w:line="276" w:lineRule="auto"/>
        <w:ind w:left="720" w:hanging="720"/>
        <w:rPr>
          <w:rFonts w:ascii="Arial" w:hAnsi="Arial" w:cs="Arial"/>
        </w:rPr>
      </w:pPr>
    </w:p>
    <w:p w:rsidR="00EF64AA" w:rsidRDefault="00EF64AA" w:rsidP="001F3363">
      <w:pPr>
        <w:spacing w:after="120" w:line="276" w:lineRule="auto"/>
        <w:ind w:left="720" w:hanging="720"/>
        <w:rPr>
          <w:rFonts w:ascii="Arial" w:hAnsi="Arial" w:cs="Arial"/>
        </w:rPr>
      </w:pPr>
    </w:p>
    <w:p w:rsidR="00EF64AA" w:rsidRDefault="00EF64AA" w:rsidP="001F3363">
      <w:pPr>
        <w:spacing w:after="120" w:line="276" w:lineRule="auto"/>
        <w:ind w:left="720" w:hanging="720"/>
        <w:rPr>
          <w:rFonts w:ascii="Arial" w:hAnsi="Arial" w:cs="Arial"/>
        </w:rPr>
      </w:pPr>
    </w:p>
    <w:p w:rsidR="00EF64AA" w:rsidRDefault="00EF64AA" w:rsidP="001F3363">
      <w:pPr>
        <w:spacing w:after="120" w:line="276" w:lineRule="auto"/>
        <w:ind w:left="720" w:hanging="720"/>
        <w:rPr>
          <w:rFonts w:ascii="Arial" w:hAnsi="Arial" w:cs="Arial"/>
        </w:rPr>
      </w:pPr>
    </w:p>
    <w:p w:rsidR="00EF64AA" w:rsidRDefault="00EF64AA" w:rsidP="001F3363">
      <w:pPr>
        <w:spacing w:after="120" w:line="276" w:lineRule="auto"/>
        <w:ind w:left="720" w:hanging="720"/>
        <w:rPr>
          <w:rFonts w:ascii="Arial" w:hAnsi="Arial" w:cs="Arial"/>
        </w:rPr>
      </w:pPr>
    </w:p>
    <w:p w:rsidR="00EF64AA" w:rsidRDefault="00EF64AA" w:rsidP="001F3363">
      <w:pPr>
        <w:spacing w:after="120" w:line="276" w:lineRule="auto"/>
        <w:ind w:left="720" w:hanging="720"/>
        <w:rPr>
          <w:rFonts w:ascii="Arial" w:hAnsi="Arial" w:cs="Arial"/>
        </w:rPr>
      </w:pPr>
    </w:p>
    <w:p w:rsidR="00EF64AA" w:rsidRDefault="00EF64AA" w:rsidP="001F3363">
      <w:pPr>
        <w:spacing w:after="120" w:line="276" w:lineRule="auto"/>
        <w:ind w:left="720" w:hanging="720"/>
        <w:rPr>
          <w:rFonts w:ascii="Arial" w:hAnsi="Arial" w:cs="Arial"/>
        </w:rPr>
      </w:pPr>
    </w:p>
    <w:p w:rsidR="00EF64AA" w:rsidRDefault="00EF64AA" w:rsidP="001F3363">
      <w:pPr>
        <w:spacing w:after="120" w:line="276" w:lineRule="auto"/>
        <w:ind w:left="720" w:hanging="720"/>
        <w:rPr>
          <w:rFonts w:ascii="Arial" w:hAnsi="Arial" w:cs="Arial"/>
        </w:rPr>
      </w:pPr>
    </w:p>
    <w:p w:rsidR="00EF64AA" w:rsidRDefault="00EF64AA" w:rsidP="001F3363">
      <w:pPr>
        <w:spacing w:after="120" w:line="276" w:lineRule="auto"/>
        <w:ind w:left="720" w:hanging="720"/>
        <w:rPr>
          <w:rFonts w:ascii="Arial" w:hAnsi="Arial" w:cs="Arial"/>
        </w:rPr>
      </w:pPr>
    </w:p>
    <w:p w:rsidR="00EF64AA" w:rsidRDefault="00EF64AA" w:rsidP="001F3363">
      <w:pPr>
        <w:spacing w:after="120" w:line="276" w:lineRule="auto"/>
        <w:ind w:left="720" w:hanging="720"/>
        <w:rPr>
          <w:rFonts w:ascii="Arial" w:hAnsi="Arial" w:cs="Arial"/>
        </w:rPr>
      </w:pPr>
    </w:p>
    <w:p w:rsidR="00EF64AA" w:rsidRDefault="00EF64AA" w:rsidP="001F3363">
      <w:pPr>
        <w:spacing w:after="120" w:line="276" w:lineRule="auto"/>
        <w:ind w:left="720" w:hanging="720"/>
        <w:rPr>
          <w:rFonts w:ascii="Arial" w:hAnsi="Arial" w:cs="Arial"/>
        </w:rPr>
      </w:pPr>
    </w:p>
    <w:p w:rsidR="00EF64AA" w:rsidRDefault="00EF64AA" w:rsidP="001F3363">
      <w:pPr>
        <w:spacing w:after="120" w:line="276" w:lineRule="auto"/>
        <w:ind w:left="720" w:hanging="720"/>
        <w:rPr>
          <w:rFonts w:ascii="Arial" w:hAnsi="Arial" w:cs="Arial"/>
        </w:rPr>
      </w:pPr>
    </w:p>
    <w:p w:rsidR="00EF64AA" w:rsidRDefault="00EF64AA" w:rsidP="001F3363">
      <w:pPr>
        <w:spacing w:after="120" w:line="276" w:lineRule="auto"/>
        <w:ind w:left="720" w:hanging="720"/>
        <w:rPr>
          <w:rFonts w:ascii="Arial" w:hAnsi="Arial" w:cs="Arial"/>
        </w:rPr>
      </w:pPr>
    </w:p>
    <w:p w:rsidR="00EF64AA" w:rsidRDefault="00EF64AA" w:rsidP="001F3363">
      <w:pPr>
        <w:spacing w:after="120" w:line="276" w:lineRule="auto"/>
        <w:ind w:left="720" w:hanging="720"/>
        <w:rPr>
          <w:rFonts w:ascii="Arial" w:hAnsi="Arial" w:cs="Arial"/>
        </w:rPr>
      </w:pPr>
    </w:p>
    <w:p w:rsidR="00FA21D2" w:rsidRPr="00044A9C" w:rsidRDefault="00FA21D2" w:rsidP="001F3363">
      <w:pPr>
        <w:spacing w:after="120" w:line="276" w:lineRule="auto"/>
        <w:ind w:left="720" w:hanging="720"/>
        <w:rPr>
          <w:rFonts w:ascii="Arial" w:hAnsi="Arial" w:cs="Arial"/>
        </w:rPr>
      </w:pPr>
    </w:p>
    <w:p w:rsidR="001F56FE" w:rsidRPr="006271DC" w:rsidRDefault="008F5EB2" w:rsidP="008F5EB2">
      <w:pPr>
        <w:pStyle w:val="Heading1"/>
        <w:spacing w:before="360" w:after="360" w:line="276" w:lineRule="auto"/>
        <w:rPr>
          <w:rFonts w:ascii="Georgia" w:hAnsi="Georgia"/>
          <w:b/>
          <w:color w:val="auto"/>
        </w:rPr>
      </w:pPr>
      <w:bookmarkStart w:id="2" w:name="_Hlk526157720"/>
      <w:r>
        <w:rPr>
          <w:rFonts w:ascii="Georgia" w:hAnsi="Georgia"/>
          <w:b/>
          <w:color w:val="auto"/>
        </w:rPr>
        <w:t>Category 2: S</w:t>
      </w:r>
      <w:r w:rsidRPr="008F5EB2">
        <w:rPr>
          <w:rFonts w:ascii="Georgia" w:hAnsi="Georgia"/>
          <w:b/>
          <w:color w:val="auto"/>
        </w:rPr>
        <w:t xml:space="preserve">ituations where projects fail by </w:t>
      </w:r>
      <w:r w:rsidR="001E1E61">
        <w:rPr>
          <w:rFonts w:ascii="Georgia" w:hAnsi="Georgia"/>
          <w:b/>
          <w:color w:val="auto"/>
        </w:rPr>
        <w:t xml:space="preserve">not accounting for the competing ethical claims </w:t>
      </w:r>
      <w:r w:rsidR="008534D2">
        <w:rPr>
          <w:rFonts w:ascii="Georgia" w:hAnsi="Georgia"/>
          <w:b/>
          <w:color w:val="auto"/>
        </w:rPr>
        <w:t xml:space="preserve">and power structures </w:t>
      </w:r>
      <w:r w:rsidR="001E1E61">
        <w:rPr>
          <w:rFonts w:ascii="Georgia" w:hAnsi="Georgia"/>
          <w:b/>
          <w:color w:val="auto"/>
        </w:rPr>
        <w:t>of a given community</w:t>
      </w:r>
    </w:p>
    <w:bookmarkEnd w:id="2"/>
    <w:p w:rsidR="00AC3B9C" w:rsidRPr="00AA785B" w:rsidRDefault="007D3B15" w:rsidP="00F84990">
      <w:pPr>
        <w:pStyle w:val="Heading2"/>
        <w:spacing w:before="240" w:after="240" w:line="276" w:lineRule="auto"/>
        <w:rPr>
          <w:rFonts w:ascii="Georgia" w:hAnsi="Georgia"/>
          <w:b/>
          <w:color w:val="FF0000"/>
          <w:sz w:val="28"/>
          <w:szCs w:val="28"/>
        </w:rPr>
      </w:pPr>
      <w:r>
        <w:rPr>
          <w:rFonts w:ascii="Georgia" w:hAnsi="Georgia"/>
          <w:b/>
          <w:color w:val="auto"/>
          <w:sz w:val="28"/>
          <w:szCs w:val="28"/>
        </w:rPr>
        <w:t>Pruitt-Igoe and Changing Political Landscapes</w:t>
      </w:r>
    </w:p>
    <w:p w:rsidR="00741A0C" w:rsidRDefault="0020309A" w:rsidP="00F84990">
      <w:pPr>
        <w:spacing w:after="120" w:line="276" w:lineRule="auto"/>
        <w:rPr>
          <w:rFonts w:ascii="Arial" w:hAnsi="Arial" w:cs="Arial"/>
        </w:rPr>
      </w:pPr>
      <w:r w:rsidRPr="0020309A">
        <w:rPr>
          <w:noProof/>
        </w:rPr>
        <w:pict>
          <v:shape id="_x0000_s1037" type="#_x0000_t202" style="position:absolute;margin-left:.75pt;margin-top:189.05pt;width:241.5pt;height:31.5pt;z-index:251674624;mso-position-horizontal:absolute;mso-position-vertical:absolute" filled="f" stroked="f">
            <v:fill o:detectmouseclick="t"/>
            <v:textbox style="mso-fit-shape-to-text:t" inset="0,0,0,0">
              <w:txbxContent>
                <w:p w:rsidR="001E1E61" w:rsidRPr="006A1A64" w:rsidRDefault="001E1E61" w:rsidP="006A1A64">
                  <w:pPr>
                    <w:pStyle w:val="Caption"/>
                    <w:rPr>
                      <w:rFonts w:ascii="Arial" w:hAnsi="Arial"/>
                      <w:b w:val="0"/>
                      <w:color w:val="auto"/>
                    </w:rPr>
                  </w:pPr>
                  <w:r w:rsidRPr="006A1A64">
                    <w:rPr>
                      <w:rFonts w:ascii="Arial" w:hAnsi="Arial"/>
                      <w:b w:val="0"/>
                      <w:color w:val="auto"/>
                    </w:rPr>
                    <w:t xml:space="preserve">Figure </w:t>
                  </w:r>
                  <w:r w:rsidR="0020309A" w:rsidRPr="006A1A64">
                    <w:rPr>
                      <w:rFonts w:ascii="Arial" w:hAnsi="Arial"/>
                      <w:b w:val="0"/>
                      <w:color w:val="auto"/>
                    </w:rPr>
                    <w:fldChar w:fldCharType="begin"/>
                  </w:r>
                  <w:r w:rsidRPr="006A1A64">
                    <w:rPr>
                      <w:rFonts w:ascii="Arial" w:hAnsi="Arial"/>
                      <w:b w:val="0"/>
                      <w:color w:val="auto"/>
                    </w:rPr>
                    <w:instrText xml:space="preserve"> SEQ Figure \* ARABIC </w:instrText>
                  </w:r>
                  <w:r w:rsidR="0020309A" w:rsidRPr="006A1A64">
                    <w:rPr>
                      <w:rFonts w:ascii="Arial" w:hAnsi="Arial"/>
                      <w:b w:val="0"/>
                      <w:color w:val="auto"/>
                    </w:rPr>
                    <w:fldChar w:fldCharType="separate"/>
                  </w:r>
                  <w:r>
                    <w:rPr>
                      <w:rFonts w:ascii="Arial" w:hAnsi="Arial"/>
                      <w:b w:val="0"/>
                      <w:noProof/>
                      <w:color w:val="auto"/>
                    </w:rPr>
                    <w:t>5</w:t>
                  </w:r>
                  <w:r w:rsidR="0020309A" w:rsidRPr="006A1A64">
                    <w:rPr>
                      <w:rFonts w:ascii="Arial" w:hAnsi="Arial"/>
                      <w:b w:val="0"/>
                      <w:color w:val="auto"/>
                    </w:rPr>
                    <w:fldChar w:fldCharType="end"/>
                  </w:r>
                  <w:r w:rsidRPr="006A1A64">
                    <w:rPr>
                      <w:rFonts w:ascii="Arial" w:hAnsi="Arial"/>
                      <w:b w:val="0"/>
                      <w:color w:val="auto"/>
                    </w:rPr>
                    <w:t>, Pruitt-Igoe, theguardian.com</w:t>
                  </w:r>
                </w:p>
              </w:txbxContent>
            </v:textbox>
            <w10:wrap type="square"/>
          </v:shape>
        </w:pict>
      </w:r>
      <w:r w:rsidR="006A1A64">
        <w:rPr>
          <w:noProof/>
        </w:rPr>
        <w:drawing>
          <wp:anchor distT="0" distB="0" distL="114300" distR="114300" simplePos="0" relativeHeight="251670528" behindDoc="0" locked="0" layoutInCell="1" allowOverlap="1">
            <wp:simplePos x="0" y="0"/>
            <wp:positionH relativeFrom="column">
              <wp:posOffset>0</wp:posOffset>
            </wp:positionH>
            <wp:positionV relativeFrom="paragraph">
              <wp:posOffset>686435</wp:posOffset>
            </wp:positionV>
            <wp:extent cx="3067050" cy="1612900"/>
            <wp:effectExtent l="25400" t="0" r="6350" b="0"/>
            <wp:wrapSquare wrapText="bothSides"/>
            <wp:docPr id="17" name="Picture 6" descr="Macintosh HD:Users:mollyslavin:Desktop:pruitt igo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mollyslavin:Desktop:pruitt igoe.jpeg"/>
                    <pic:cNvPicPr>
                      <a:picLocks noChangeAspect="1" noChangeArrowheads="1"/>
                    </pic:cNvPicPr>
                  </pic:nvPicPr>
                  <pic:blipFill>
                    <a:blip r:embed="rId26"/>
                    <a:srcRect/>
                    <a:stretch>
                      <a:fillRect/>
                    </a:stretch>
                  </pic:blipFill>
                  <pic:spPr bwMode="auto">
                    <a:xfrm>
                      <a:off x="0" y="0"/>
                      <a:ext cx="3067050" cy="1612900"/>
                    </a:xfrm>
                    <a:prstGeom prst="rect">
                      <a:avLst/>
                    </a:prstGeom>
                    <a:noFill/>
                    <a:ln w="9525">
                      <a:noFill/>
                      <a:miter lim="800000"/>
                      <a:headEnd/>
                      <a:tailEnd/>
                    </a:ln>
                  </pic:spPr>
                </pic:pic>
              </a:graphicData>
            </a:graphic>
          </wp:anchor>
        </w:drawing>
      </w:r>
      <w:r w:rsidR="00A75490">
        <w:rPr>
          <w:rFonts w:ascii="Arial" w:hAnsi="Arial" w:cs="Arial"/>
        </w:rPr>
        <w:t xml:space="preserve">The </w:t>
      </w:r>
      <w:r w:rsidR="00AC3B9C" w:rsidRPr="00044A9C">
        <w:rPr>
          <w:rFonts w:ascii="Arial" w:hAnsi="Arial" w:cs="Arial"/>
        </w:rPr>
        <w:t xml:space="preserve">Pruitt-Igoe public housing development in St. Louis, Missouri was completed in 1954. </w:t>
      </w:r>
      <w:r w:rsidR="005A19D0">
        <w:rPr>
          <w:rFonts w:ascii="Arial" w:hAnsi="Arial" w:cs="Arial"/>
        </w:rPr>
        <w:t>Opening just prior to Brown vs. Board of Education,</w:t>
      </w:r>
      <w:r w:rsidR="00665691">
        <w:rPr>
          <w:rFonts w:ascii="Arial" w:hAnsi="Arial" w:cs="Arial"/>
        </w:rPr>
        <w:t xml:space="preserve"> which desegregated American public schools,</w:t>
      </w:r>
      <w:r w:rsidR="005A19D0">
        <w:rPr>
          <w:rFonts w:ascii="Arial" w:hAnsi="Arial" w:cs="Arial"/>
        </w:rPr>
        <w:t xml:space="preserve"> i</w:t>
      </w:r>
      <w:r w:rsidR="00665691">
        <w:rPr>
          <w:rFonts w:ascii="Arial" w:hAnsi="Arial" w:cs="Arial"/>
        </w:rPr>
        <w:t>t was a high-rise, whites-only</w:t>
      </w:r>
      <w:r w:rsidR="00AC3B9C" w:rsidRPr="00044A9C">
        <w:rPr>
          <w:rFonts w:ascii="Arial" w:hAnsi="Arial" w:cs="Arial"/>
        </w:rPr>
        <w:t xml:space="preserve"> affordable housing project</w:t>
      </w:r>
      <w:r w:rsidR="001231D2" w:rsidRPr="00044A9C">
        <w:rPr>
          <w:rFonts w:ascii="Arial" w:hAnsi="Arial" w:cs="Arial"/>
        </w:rPr>
        <w:t>, consisting of 33 towers each with 11 stor</w:t>
      </w:r>
      <w:r w:rsidR="00A75490">
        <w:rPr>
          <w:rFonts w:ascii="Arial" w:hAnsi="Arial" w:cs="Arial"/>
        </w:rPr>
        <w:t>ies</w:t>
      </w:r>
      <w:r w:rsidR="00AC3B9C" w:rsidRPr="00044A9C">
        <w:rPr>
          <w:rFonts w:ascii="Arial" w:hAnsi="Arial" w:cs="Arial"/>
        </w:rPr>
        <w:t xml:space="preserve">. </w:t>
      </w:r>
      <w:r w:rsidR="00A34B8A">
        <w:rPr>
          <w:rFonts w:ascii="Arial" w:hAnsi="Arial" w:cs="Arial"/>
        </w:rPr>
        <w:t xml:space="preserve">This style of public housing </w:t>
      </w:r>
      <w:r w:rsidR="00665691">
        <w:rPr>
          <w:rFonts w:ascii="Arial" w:hAnsi="Arial" w:cs="Arial"/>
        </w:rPr>
        <w:t>was implemented to provide high-</w:t>
      </w:r>
      <w:r w:rsidR="00A34B8A">
        <w:rPr>
          <w:rFonts w:ascii="Arial" w:hAnsi="Arial" w:cs="Arial"/>
        </w:rPr>
        <w:t xml:space="preserve">density units near green space. Urban areas throughout the country had been predicted to continue to grow, though </w:t>
      </w:r>
      <w:r w:rsidR="001F3363">
        <w:rPr>
          <w:rFonts w:ascii="Arial" w:hAnsi="Arial" w:cs="Arial"/>
        </w:rPr>
        <w:t xml:space="preserve">urban populations in </w:t>
      </w:r>
      <w:r w:rsidR="00A34B8A">
        <w:rPr>
          <w:rFonts w:ascii="Arial" w:hAnsi="Arial" w:cs="Arial"/>
        </w:rPr>
        <w:t xml:space="preserve">cities like St. Louis were beginning to decline. </w:t>
      </w:r>
    </w:p>
    <w:p w:rsidR="00AC3B9C" w:rsidRPr="00044A9C" w:rsidRDefault="001231D2" w:rsidP="00F84990">
      <w:pPr>
        <w:spacing w:after="120" w:line="276" w:lineRule="auto"/>
        <w:rPr>
          <w:rFonts w:ascii="Arial" w:hAnsi="Arial" w:cs="Arial"/>
        </w:rPr>
      </w:pPr>
      <w:r w:rsidRPr="00044A9C">
        <w:rPr>
          <w:rFonts w:ascii="Arial" w:hAnsi="Arial" w:cs="Arial"/>
        </w:rPr>
        <w:t>The</w:t>
      </w:r>
      <w:r w:rsidR="00741A0C">
        <w:rPr>
          <w:rFonts w:ascii="Arial" w:hAnsi="Arial" w:cs="Arial"/>
        </w:rPr>
        <w:t xml:space="preserve"> Public Housing Administration objected to the original plans for </w:t>
      </w:r>
      <w:r w:rsidR="001F3363">
        <w:rPr>
          <w:rFonts w:ascii="Arial" w:hAnsi="Arial" w:cs="Arial"/>
        </w:rPr>
        <w:t>Pruitt-Igoe</w:t>
      </w:r>
      <w:r w:rsidR="00741A0C">
        <w:rPr>
          <w:rFonts w:ascii="Arial" w:hAnsi="Arial" w:cs="Arial"/>
        </w:rPr>
        <w:t xml:space="preserve">, insisting that </w:t>
      </w:r>
      <w:r w:rsidR="001F3363">
        <w:rPr>
          <w:rFonts w:ascii="Arial" w:hAnsi="Arial" w:cs="Arial"/>
        </w:rPr>
        <w:t xml:space="preserve">it </w:t>
      </w:r>
      <w:r w:rsidR="00741A0C">
        <w:rPr>
          <w:rFonts w:ascii="Arial" w:hAnsi="Arial" w:cs="Arial"/>
        </w:rPr>
        <w:t>should be built at a lower cost</w:t>
      </w:r>
      <w:r w:rsidR="00E96672">
        <w:rPr>
          <w:rFonts w:ascii="Arial" w:hAnsi="Arial" w:cs="Arial"/>
        </w:rPr>
        <w:t xml:space="preserve">. This resulted </w:t>
      </w:r>
      <w:r w:rsidR="00741A0C">
        <w:rPr>
          <w:rFonts w:ascii="Arial" w:hAnsi="Arial" w:cs="Arial"/>
        </w:rPr>
        <w:t>in the use of low</w:t>
      </w:r>
      <w:r w:rsidR="00F75F3B">
        <w:rPr>
          <w:rFonts w:ascii="Arial" w:hAnsi="Arial" w:cs="Arial"/>
        </w:rPr>
        <w:t>-</w:t>
      </w:r>
      <w:r w:rsidR="00741A0C">
        <w:rPr>
          <w:rFonts w:ascii="Arial" w:hAnsi="Arial" w:cs="Arial"/>
        </w:rPr>
        <w:t>quality building materials.</w:t>
      </w:r>
      <w:r w:rsidRPr="00044A9C">
        <w:rPr>
          <w:rFonts w:ascii="Arial" w:hAnsi="Arial" w:cs="Arial"/>
        </w:rPr>
        <w:t xml:space="preserve"> </w:t>
      </w:r>
      <w:r w:rsidR="00052044" w:rsidRPr="00044A9C">
        <w:rPr>
          <w:rFonts w:ascii="Arial" w:hAnsi="Arial" w:cs="Arial"/>
        </w:rPr>
        <w:t xml:space="preserve">The </w:t>
      </w:r>
      <w:r w:rsidR="00741A0C">
        <w:rPr>
          <w:rFonts w:ascii="Arial" w:hAnsi="Arial" w:cs="Arial"/>
        </w:rPr>
        <w:t>Pruitt-Igoe public housing units</w:t>
      </w:r>
      <w:r w:rsidR="00052044" w:rsidRPr="00044A9C">
        <w:rPr>
          <w:rFonts w:ascii="Arial" w:hAnsi="Arial" w:cs="Arial"/>
        </w:rPr>
        <w:t xml:space="preserve"> were built in a time of segregation</w:t>
      </w:r>
      <w:r w:rsidR="008F77DA">
        <w:rPr>
          <w:rFonts w:ascii="Arial" w:hAnsi="Arial" w:cs="Arial"/>
        </w:rPr>
        <w:t>, but following Brown v. Board of Education in 1954</w:t>
      </w:r>
      <w:r w:rsidR="00741A0C">
        <w:rPr>
          <w:rFonts w:ascii="Arial" w:hAnsi="Arial" w:cs="Arial"/>
        </w:rPr>
        <w:t>,</w:t>
      </w:r>
      <w:r w:rsidR="00052044" w:rsidRPr="00044A9C">
        <w:rPr>
          <w:rFonts w:ascii="Arial" w:hAnsi="Arial" w:cs="Arial"/>
        </w:rPr>
        <w:t xml:space="preserve"> there was mandated integration throughout th</w:t>
      </w:r>
      <w:r w:rsidR="00665691">
        <w:rPr>
          <w:rFonts w:ascii="Arial" w:hAnsi="Arial" w:cs="Arial"/>
        </w:rPr>
        <w:t xml:space="preserve">e housing complex. This caused </w:t>
      </w:r>
      <w:r w:rsidR="00052044" w:rsidRPr="00044A9C">
        <w:rPr>
          <w:rFonts w:ascii="Arial" w:hAnsi="Arial" w:cs="Arial"/>
        </w:rPr>
        <w:t>white residents to flee from the development, many ending up in the suburbs away f</w:t>
      </w:r>
      <w:r w:rsidR="00B67939">
        <w:rPr>
          <w:rFonts w:ascii="Arial" w:hAnsi="Arial" w:cs="Arial"/>
        </w:rPr>
        <w:t xml:space="preserve">rom the “problems” of the inner </w:t>
      </w:r>
      <w:r w:rsidR="00052044" w:rsidRPr="00044A9C">
        <w:rPr>
          <w:rFonts w:ascii="Arial" w:hAnsi="Arial" w:cs="Arial"/>
        </w:rPr>
        <w:t xml:space="preserve">city. Pruitt-Igoe was built as housing for the middle class, but after its opening it became an economic and racial ghetto. </w:t>
      </w:r>
      <w:r w:rsidR="00665691">
        <w:rPr>
          <w:rFonts w:ascii="Arial" w:hAnsi="Arial" w:cs="Arial"/>
        </w:rPr>
        <w:t xml:space="preserve">It began to be perceived as a place of danger and high crime, though the statistics on this are debatable. </w:t>
      </w:r>
      <w:r w:rsidR="00052044" w:rsidRPr="00044A9C">
        <w:rPr>
          <w:rFonts w:ascii="Arial" w:hAnsi="Arial" w:cs="Arial"/>
        </w:rPr>
        <w:t xml:space="preserve">Within two decades, </w:t>
      </w:r>
      <w:r w:rsidR="00E96672">
        <w:rPr>
          <w:rFonts w:ascii="Arial" w:hAnsi="Arial" w:cs="Arial"/>
        </w:rPr>
        <w:t xml:space="preserve">authorities demolished two towers </w:t>
      </w:r>
      <w:r w:rsidR="00741A0C">
        <w:rPr>
          <w:rFonts w:ascii="Arial" w:hAnsi="Arial" w:cs="Arial"/>
        </w:rPr>
        <w:t xml:space="preserve">of the </w:t>
      </w:r>
      <w:r w:rsidR="00052044" w:rsidRPr="00044A9C">
        <w:rPr>
          <w:rFonts w:ascii="Arial" w:hAnsi="Arial" w:cs="Arial"/>
        </w:rPr>
        <w:t xml:space="preserve">complex </w:t>
      </w:r>
      <w:r w:rsidR="005A19D0">
        <w:rPr>
          <w:rFonts w:ascii="Arial" w:hAnsi="Arial" w:cs="Arial"/>
        </w:rPr>
        <w:t>on live television.</w:t>
      </w:r>
    </w:p>
    <w:p w:rsidR="00265771" w:rsidRDefault="00924880" w:rsidP="00F84990">
      <w:pPr>
        <w:spacing w:after="120" w:line="276" w:lineRule="auto"/>
        <w:rPr>
          <w:rFonts w:ascii="Arial" w:hAnsi="Arial" w:cs="Arial"/>
        </w:rPr>
      </w:pPr>
      <w:r w:rsidRPr="00044A9C">
        <w:rPr>
          <w:rFonts w:ascii="Arial" w:hAnsi="Arial" w:cs="Arial"/>
        </w:rPr>
        <w:t xml:space="preserve">Those who use the Pruitt-Igoe project as an example of why high-rise public housing cannot be socially or economically sustainable sometimes point toward the architect, Minoru Yamasaki. </w:t>
      </w:r>
      <w:r w:rsidR="009813D0" w:rsidRPr="00044A9C">
        <w:rPr>
          <w:rFonts w:ascii="Arial" w:hAnsi="Arial" w:cs="Arial"/>
        </w:rPr>
        <w:t xml:space="preserve">His critics call him a social-engineering modernist and believe he ignored the needs of common people who were to live in the complex. </w:t>
      </w:r>
      <w:r w:rsidR="007E0558">
        <w:rPr>
          <w:rFonts w:ascii="Arial" w:hAnsi="Arial" w:cs="Arial"/>
        </w:rPr>
        <w:t>But these critics</w:t>
      </w:r>
      <w:r w:rsidR="00265771">
        <w:rPr>
          <w:rFonts w:ascii="Arial" w:hAnsi="Arial" w:cs="Arial"/>
        </w:rPr>
        <w:t xml:space="preserve"> </w:t>
      </w:r>
      <w:r w:rsidR="009813D0" w:rsidRPr="00044A9C">
        <w:rPr>
          <w:rFonts w:ascii="Arial" w:hAnsi="Arial" w:cs="Arial"/>
        </w:rPr>
        <w:t xml:space="preserve">often overlook the many changes occurring at the same time within the urban environment, both in St. Louis as well as throughout the country. </w:t>
      </w:r>
      <w:r w:rsidR="007E0558">
        <w:rPr>
          <w:rFonts w:ascii="Arial" w:hAnsi="Arial" w:cs="Arial"/>
        </w:rPr>
        <w:t>For example, m</w:t>
      </w:r>
      <w:r w:rsidR="009813D0" w:rsidRPr="00044A9C">
        <w:rPr>
          <w:rFonts w:ascii="Arial" w:hAnsi="Arial" w:cs="Arial"/>
        </w:rPr>
        <w:t>any people, specifically middle class and white,</w:t>
      </w:r>
      <w:r w:rsidR="007E0558">
        <w:rPr>
          <w:rFonts w:ascii="Arial" w:hAnsi="Arial" w:cs="Arial"/>
        </w:rPr>
        <w:t xml:space="preserve"> fled the </w:t>
      </w:r>
      <w:r w:rsidR="00665691">
        <w:rPr>
          <w:rFonts w:ascii="Arial" w:hAnsi="Arial" w:cs="Arial"/>
        </w:rPr>
        <w:t xml:space="preserve">inner </w:t>
      </w:r>
      <w:r w:rsidR="009813D0" w:rsidRPr="00044A9C">
        <w:rPr>
          <w:rFonts w:ascii="Arial" w:hAnsi="Arial" w:cs="Arial"/>
        </w:rPr>
        <w:t xml:space="preserve">city </w:t>
      </w:r>
      <w:r w:rsidR="007E0558">
        <w:rPr>
          <w:rFonts w:ascii="Arial" w:hAnsi="Arial" w:cs="Arial"/>
        </w:rPr>
        <w:t xml:space="preserve">due to racist assumptions about </w:t>
      </w:r>
      <w:r w:rsidR="009813D0" w:rsidRPr="00044A9C">
        <w:rPr>
          <w:rFonts w:ascii="Arial" w:hAnsi="Arial" w:cs="Arial"/>
        </w:rPr>
        <w:t xml:space="preserve">crime and danger. </w:t>
      </w:r>
      <w:r w:rsidR="007E0558">
        <w:rPr>
          <w:rFonts w:ascii="Arial" w:hAnsi="Arial" w:cs="Arial"/>
        </w:rPr>
        <w:t>Furthermore, h</w:t>
      </w:r>
      <w:r w:rsidR="009813D0" w:rsidRPr="00044A9C">
        <w:rPr>
          <w:rFonts w:ascii="Arial" w:hAnsi="Arial" w:cs="Arial"/>
        </w:rPr>
        <w:t xml:space="preserve">ousing in the suburbs was becoming more accessible to </w:t>
      </w:r>
      <w:r w:rsidR="00265771">
        <w:rPr>
          <w:rFonts w:ascii="Arial" w:hAnsi="Arial" w:cs="Arial"/>
        </w:rPr>
        <w:t>middle class</w:t>
      </w:r>
      <w:r w:rsidR="007E0558">
        <w:rPr>
          <w:rFonts w:ascii="Arial" w:hAnsi="Arial" w:cs="Arial"/>
        </w:rPr>
        <w:t xml:space="preserve"> citizens, especially </w:t>
      </w:r>
      <w:r w:rsidR="009813D0" w:rsidRPr="00044A9C">
        <w:rPr>
          <w:rFonts w:ascii="Arial" w:hAnsi="Arial" w:cs="Arial"/>
        </w:rPr>
        <w:t xml:space="preserve">with the </w:t>
      </w:r>
      <w:r w:rsidR="000F65E4">
        <w:rPr>
          <w:rFonts w:ascii="Arial" w:hAnsi="Arial" w:cs="Arial"/>
        </w:rPr>
        <w:t xml:space="preserve">changes in lending practices and the increase </w:t>
      </w:r>
      <w:r w:rsidR="00665691">
        <w:rPr>
          <w:rFonts w:ascii="Arial" w:hAnsi="Arial" w:cs="Arial"/>
        </w:rPr>
        <w:t>of highway transit (for more information, see the case study in Category 1, “MARTA and Interstate Highway Construction”).</w:t>
      </w:r>
    </w:p>
    <w:p w:rsidR="00052044" w:rsidRDefault="00335B73" w:rsidP="00F84990">
      <w:pPr>
        <w:spacing w:after="120" w:line="276" w:lineRule="auto"/>
        <w:rPr>
          <w:rFonts w:ascii="Arial" w:hAnsi="Arial" w:cs="Arial"/>
        </w:rPr>
      </w:pPr>
      <w:r>
        <w:rPr>
          <w:rFonts w:ascii="Arial" w:hAnsi="Arial" w:cs="Arial"/>
        </w:rPr>
        <w:t>Because of the way funding works for public housing, there are regulations which prevent government funding from going toward operations and maintenance costs</w:t>
      </w:r>
      <w:r w:rsidR="007A3EF3">
        <w:rPr>
          <w:rFonts w:ascii="Arial" w:hAnsi="Arial" w:cs="Arial"/>
        </w:rPr>
        <w:t xml:space="preserve"> (Why Did Pruitt-Igoe Fail?</w:t>
      </w:r>
      <w:r w:rsidR="0070408B">
        <w:rPr>
          <w:rFonts w:ascii="Arial" w:hAnsi="Arial" w:cs="Arial"/>
        </w:rPr>
        <w:t>, n.d.</w:t>
      </w:r>
      <w:r w:rsidR="007A3EF3">
        <w:rPr>
          <w:rFonts w:ascii="Arial" w:hAnsi="Arial" w:cs="Arial"/>
        </w:rPr>
        <w:t>)</w:t>
      </w:r>
      <w:r>
        <w:rPr>
          <w:rFonts w:ascii="Arial" w:hAnsi="Arial" w:cs="Arial"/>
        </w:rPr>
        <w:t xml:space="preserve">. This led to operations and maintenance costs (at this time in public housing history) coming from the rents of the tenants, and therefore, the public housing buildings were not maintained at the same level as private apartment buildings. </w:t>
      </w:r>
      <w:r w:rsidR="00B67939">
        <w:rPr>
          <w:rFonts w:ascii="Arial" w:hAnsi="Arial" w:cs="Arial"/>
        </w:rPr>
        <w:t>This le</w:t>
      </w:r>
      <w:r w:rsidR="007E0558">
        <w:rPr>
          <w:rFonts w:ascii="Arial" w:hAnsi="Arial" w:cs="Arial"/>
        </w:rPr>
        <w:t xml:space="preserve">d </w:t>
      </w:r>
      <w:r w:rsidR="009813D0" w:rsidRPr="00044A9C">
        <w:rPr>
          <w:rFonts w:ascii="Arial" w:hAnsi="Arial" w:cs="Arial"/>
        </w:rPr>
        <w:t xml:space="preserve">to </w:t>
      </w:r>
      <w:r w:rsidR="007E0558">
        <w:rPr>
          <w:rFonts w:ascii="Arial" w:hAnsi="Arial" w:cs="Arial"/>
        </w:rPr>
        <w:t xml:space="preserve">the </w:t>
      </w:r>
      <w:r w:rsidR="009813D0" w:rsidRPr="00044A9C">
        <w:rPr>
          <w:rFonts w:ascii="Arial" w:hAnsi="Arial" w:cs="Arial"/>
        </w:rPr>
        <w:t xml:space="preserve">degradation of the property within a few years of opening. </w:t>
      </w:r>
    </w:p>
    <w:p w:rsidR="00E96672" w:rsidRPr="00044A9C" w:rsidRDefault="00E96672" w:rsidP="00F84990">
      <w:pPr>
        <w:spacing w:after="120" w:line="276" w:lineRule="auto"/>
        <w:rPr>
          <w:rFonts w:ascii="Arial" w:hAnsi="Arial" w:cs="Arial"/>
        </w:rPr>
      </w:pPr>
      <w:r>
        <w:rPr>
          <w:rFonts w:ascii="Arial" w:hAnsi="Arial" w:cs="Arial"/>
        </w:rPr>
        <w:t xml:space="preserve">While the issues surrounding Pruitt-Igoe are </w:t>
      </w:r>
      <w:r w:rsidR="008447FC">
        <w:rPr>
          <w:rFonts w:ascii="Arial" w:hAnsi="Arial" w:cs="Arial"/>
        </w:rPr>
        <w:t>complicated</w:t>
      </w:r>
      <w:r>
        <w:rPr>
          <w:rFonts w:ascii="Arial" w:hAnsi="Arial" w:cs="Arial"/>
        </w:rPr>
        <w:t xml:space="preserve">, what’s certain is that the planning of the complex did not sufficiently consider the various </w:t>
      </w:r>
      <w:r w:rsidR="008447FC">
        <w:rPr>
          <w:rFonts w:ascii="Arial" w:hAnsi="Arial" w:cs="Arial"/>
        </w:rPr>
        <w:t xml:space="preserve">social </w:t>
      </w:r>
      <w:r w:rsidR="00B67939">
        <w:rPr>
          <w:rFonts w:ascii="Arial" w:hAnsi="Arial" w:cs="Arial"/>
        </w:rPr>
        <w:t>dynamics</w:t>
      </w:r>
      <w:r w:rsidR="008447FC">
        <w:rPr>
          <w:rFonts w:ascii="Arial" w:hAnsi="Arial" w:cs="Arial"/>
        </w:rPr>
        <w:t xml:space="preserve"> that would contribute to, and more accurately limit, its effectiveness. </w:t>
      </w:r>
    </w:p>
    <w:p w:rsidR="00E37202" w:rsidRPr="00E37202" w:rsidRDefault="00E37202" w:rsidP="00E37202">
      <w:pPr>
        <w:spacing w:after="120" w:line="276" w:lineRule="auto"/>
        <w:ind w:left="720" w:hanging="720"/>
        <w:rPr>
          <w:rFonts w:ascii="Arial" w:hAnsi="Arial" w:cs="Arial"/>
          <w:b/>
        </w:rPr>
      </w:pPr>
      <w:r w:rsidRPr="00E37202">
        <w:rPr>
          <w:rFonts w:ascii="Arial" w:hAnsi="Arial" w:cs="Arial"/>
          <w:b/>
        </w:rPr>
        <w:t>Works Cited</w:t>
      </w:r>
    </w:p>
    <w:p w:rsidR="004A5EEB" w:rsidRDefault="00F5324E" w:rsidP="00F84990">
      <w:pPr>
        <w:spacing w:after="240" w:line="276" w:lineRule="auto"/>
        <w:ind w:left="720" w:hanging="720"/>
        <w:rPr>
          <w:rStyle w:val="Hyperlink"/>
        </w:rPr>
      </w:pPr>
      <w:r>
        <w:rPr>
          <w:rFonts w:ascii="Arial" w:hAnsi="Arial" w:cs="Arial"/>
        </w:rPr>
        <w:t xml:space="preserve">Marshall, Colin. (2015). </w:t>
      </w:r>
      <w:hyperlink r:id="rId27" w:history="1">
        <w:r w:rsidRPr="00F5324E">
          <w:rPr>
            <w:rStyle w:val="Hyperlink"/>
            <w:rFonts w:ascii="Arial" w:hAnsi="Arial" w:cs="Arial"/>
          </w:rPr>
          <w:t>Pruitt-Igoe: The Troubled High-Rise That Came to Define Urban America – A History of C</w:t>
        </w:r>
        <w:r w:rsidR="006732A9" w:rsidRPr="00F5324E">
          <w:rPr>
            <w:rStyle w:val="Hyperlink"/>
            <w:rFonts w:ascii="Arial" w:hAnsi="Arial" w:cs="Arial"/>
          </w:rPr>
          <w:t>ities i</w:t>
        </w:r>
        <w:r w:rsidRPr="00F5324E">
          <w:rPr>
            <w:rStyle w:val="Hyperlink"/>
            <w:rFonts w:ascii="Arial" w:hAnsi="Arial" w:cs="Arial"/>
          </w:rPr>
          <w:t>n 50 Buildings, D</w:t>
        </w:r>
        <w:r w:rsidR="006732A9" w:rsidRPr="00F5324E">
          <w:rPr>
            <w:rStyle w:val="Hyperlink"/>
            <w:rFonts w:ascii="Arial" w:hAnsi="Arial" w:cs="Arial"/>
          </w:rPr>
          <w:t>ay 21</w:t>
        </w:r>
      </w:hyperlink>
      <w:r w:rsidR="006732A9" w:rsidRPr="00044A9C">
        <w:rPr>
          <w:rFonts w:ascii="Arial" w:hAnsi="Arial" w:cs="Arial"/>
        </w:rPr>
        <w:t xml:space="preserve">. </w:t>
      </w:r>
      <w:r w:rsidR="005A513F" w:rsidRPr="00044A9C">
        <w:rPr>
          <w:rFonts w:ascii="Arial" w:hAnsi="Arial" w:cs="Arial"/>
          <w:i/>
        </w:rPr>
        <w:t>The Guardian</w:t>
      </w:r>
      <w:r>
        <w:rPr>
          <w:rFonts w:ascii="Arial" w:hAnsi="Arial" w:cs="Arial"/>
          <w:i/>
        </w:rPr>
        <w:t>.</w:t>
      </w:r>
    </w:p>
    <w:p w:rsidR="009C6E02" w:rsidRDefault="00F5324E" w:rsidP="00F84990">
      <w:pPr>
        <w:spacing w:after="240" w:line="276" w:lineRule="auto"/>
        <w:ind w:left="720" w:hanging="720"/>
        <w:rPr>
          <w:rFonts w:ascii="Arial" w:hAnsi="Arial"/>
        </w:rPr>
      </w:pPr>
      <w:r>
        <w:rPr>
          <w:rFonts w:ascii="Arial" w:hAnsi="Arial" w:cs="Arial"/>
        </w:rPr>
        <w:t xml:space="preserve">No Author. (n.d.) </w:t>
      </w:r>
      <w:hyperlink r:id="rId28" w:history="1">
        <w:r w:rsidR="00B35CDF" w:rsidRPr="00F5324E">
          <w:rPr>
            <w:rStyle w:val="Hyperlink"/>
            <w:rFonts w:ascii="Arial" w:hAnsi="Arial" w:cs="Arial"/>
          </w:rPr>
          <w:t>Why Did Pruitt-Igoe Fail?</w:t>
        </w:r>
      </w:hyperlink>
      <w:r w:rsidR="00B35CDF" w:rsidRPr="00B35CDF">
        <w:rPr>
          <w:rFonts w:ascii="Arial" w:hAnsi="Arial" w:cs="Arial"/>
        </w:rPr>
        <w:t xml:space="preserve"> </w:t>
      </w:r>
      <w:r w:rsidRPr="00F5324E">
        <w:rPr>
          <w:rFonts w:ascii="Arial" w:hAnsi="Arial"/>
        </w:rPr>
        <w:t>HUD User.</w:t>
      </w:r>
    </w:p>
    <w:p w:rsidR="009C6E02" w:rsidRPr="00E37202" w:rsidRDefault="009C6E02" w:rsidP="009C6E02">
      <w:pPr>
        <w:spacing w:after="120" w:line="276" w:lineRule="auto"/>
        <w:ind w:left="720" w:hanging="720"/>
        <w:rPr>
          <w:rFonts w:ascii="Arial" w:hAnsi="Arial" w:cs="Arial"/>
          <w:b/>
        </w:rPr>
      </w:pPr>
      <w:r>
        <w:rPr>
          <w:rFonts w:ascii="Arial" w:hAnsi="Arial" w:cs="Arial"/>
          <w:b/>
        </w:rPr>
        <w:t>Further Resource</w:t>
      </w:r>
    </w:p>
    <w:p w:rsidR="00B35CDF" w:rsidRPr="009C6E02" w:rsidRDefault="009C6E02" w:rsidP="00F84990">
      <w:pPr>
        <w:spacing w:after="240" w:line="276" w:lineRule="auto"/>
        <w:ind w:left="720" w:hanging="720"/>
        <w:rPr>
          <w:rFonts w:ascii="Arial" w:hAnsi="Arial" w:cs="Arial"/>
        </w:rPr>
      </w:pPr>
      <w:r>
        <w:rPr>
          <w:rFonts w:ascii="Arial" w:hAnsi="Arial" w:cs="Arial"/>
        </w:rPr>
        <w:t xml:space="preserve">Friedrichs, Chad (dir). (2011). </w:t>
      </w:r>
      <w:r>
        <w:rPr>
          <w:rFonts w:ascii="Arial" w:hAnsi="Arial" w:cs="Arial"/>
          <w:i/>
        </w:rPr>
        <w:t xml:space="preserve">The Pruitt-Igoe Myth. </w:t>
      </w:r>
      <w:r>
        <w:rPr>
          <w:rFonts w:ascii="Arial" w:hAnsi="Arial" w:cs="Arial"/>
        </w:rPr>
        <w:t>(documentary film)</w:t>
      </w:r>
    </w:p>
    <w:p w:rsidR="00665691" w:rsidRPr="006271DC" w:rsidRDefault="00665691" w:rsidP="00665691">
      <w:pPr>
        <w:pStyle w:val="Heading2"/>
        <w:spacing w:before="240" w:after="240" w:line="276" w:lineRule="auto"/>
        <w:rPr>
          <w:rFonts w:ascii="Georgia" w:hAnsi="Georgia"/>
          <w:b/>
          <w:color w:val="auto"/>
          <w:sz w:val="28"/>
          <w:szCs w:val="28"/>
        </w:rPr>
      </w:pPr>
      <w:r w:rsidRPr="006271DC">
        <w:rPr>
          <w:rFonts w:ascii="Georgia" w:hAnsi="Georgia"/>
          <w:b/>
          <w:color w:val="auto"/>
          <w:sz w:val="28"/>
          <w:szCs w:val="28"/>
        </w:rPr>
        <w:t xml:space="preserve">El Cajón Dam in Honduras </w:t>
      </w:r>
    </w:p>
    <w:p w:rsidR="00665691" w:rsidRDefault="00665691" w:rsidP="00665691">
      <w:pPr>
        <w:spacing w:after="120" w:line="276" w:lineRule="auto"/>
        <w:rPr>
          <w:rFonts w:ascii="Arial" w:hAnsi="Arial" w:cs="Arial"/>
        </w:rPr>
      </w:pPr>
      <w:r>
        <w:rPr>
          <w:rFonts w:ascii="Arial" w:hAnsi="Arial" w:cs="Arial"/>
        </w:rPr>
        <w:t xml:space="preserve">El Cajón Dam was built in the early 1980s in Honduras. It was meant to decrease foreign dependency on fossil fuels and to increase the country’s energy independence and potential to sell power to its neighboring countries. </w:t>
      </w:r>
      <w:r w:rsidR="00CD0497">
        <w:rPr>
          <w:rFonts w:ascii="Arial" w:hAnsi="Arial" w:cs="Arial"/>
        </w:rPr>
        <w:t>However, the project ultimately failed due to issues related to power differentials and political leverage.</w:t>
      </w:r>
    </w:p>
    <w:p w:rsidR="00665691" w:rsidRDefault="0020309A" w:rsidP="00665691">
      <w:pPr>
        <w:spacing w:after="120" w:line="276" w:lineRule="auto"/>
        <w:rPr>
          <w:rFonts w:ascii="Arial" w:hAnsi="Arial" w:cs="Arial"/>
        </w:rPr>
      </w:pPr>
      <w:r w:rsidRPr="0020309A">
        <w:rPr>
          <w:noProof/>
        </w:rPr>
        <w:pict>
          <v:shape id="_x0000_s1038" type="#_x0000_t202" style="position:absolute;margin-left:-.75pt;margin-top:209.35pt;width:259pt;height:17.5pt;z-index:251677696;mso-position-horizontal:absolute;mso-position-vertical:absolute" filled="f" stroked="f">
            <v:fill o:detectmouseclick="t"/>
            <v:textbox inset="0,0,0,0">
              <w:txbxContent>
                <w:p w:rsidR="001E1E61" w:rsidRPr="00C004AF" w:rsidRDefault="001E1E61" w:rsidP="00C004AF">
                  <w:pPr>
                    <w:pStyle w:val="Caption"/>
                    <w:rPr>
                      <w:rFonts w:ascii="Arial" w:hAnsi="Arial"/>
                      <w:b w:val="0"/>
                      <w:color w:val="auto"/>
                    </w:rPr>
                  </w:pPr>
                  <w:r w:rsidRPr="00C004AF">
                    <w:rPr>
                      <w:rFonts w:ascii="Arial" w:hAnsi="Arial"/>
                      <w:b w:val="0"/>
                      <w:color w:val="auto"/>
                    </w:rPr>
                    <w:t xml:space="preserve">Figure </w:t>
                  </w:r>
                  <w:r w:rsidR="0020309A" w:rsidRPr="00C004AF">
                    <w:rPr>
                      <w:rFonts w:ascii="Arial" w:hAnsi="Arial"/>
                      <w:b w:val="0"/>
                      <w:color w:val="auto"/>
                    </w:rPr>
                    <w:fldChar w:fldCharType="begin"/>
                  </w:r>
                  <w:r w:rsidRPr="00C004AF">
                    <w:rPr>
                      <w:rFonts w:ascii="Arial" w:hAnsi="Arial"/>
                      <w:b w:val="0"/>
                      <w:color w:val="auto"/>
                    </w:rPr>
                    <w:instrText xml:space="preserve"> SEQ Figure \* ARABIC </w:instrText>
                  </w:r>
                  <w:r w:rsidR="0020309A" w:rsidRPr="00C004AF">
                    <w:rPr>
                      <w:rFonts w:ascii="Arial" w:hAnsi="Arial"/>
                      <w:b w:val="0"/>
                      <w:color w:val="auto"/>
                    </w:rPr>
                    <w:fldChar w:fldCharType="separate"/>
                  </w:r>
                  <w:r>
                    <w:rPr>
                      <w:rFonts w:ascii="Arial" w:hAnsi="Arial"/>
                      <w:b w:val="0"/>
                      <w:noProof/>
                      <w:color w:val="auto"/>
                    </w:rPr>
                    <w:t>6</w:t>
                  </w:r>
                  <w:r w:rsidR="0020309A" w:rsidRPr="00C004AF">
                    <w:rPr>
                      <w:rFonts w:ascii="Arial" w:hAnsi="Arial"/>
                      <w:b w:val="0"/>
                      <w:color w:val="auto"/>
                    </w:rPr>
                    <w:fldChar w:fldCharType="end"/>
                  </w:r>
                  <w:r w:rsidRPr="00C004AF">
                    <w:rPr>
                      <w:rFonts w:ascii="Arial" w:hAnsi="Arial"/>
                      <w:b w:val="0"/>
                      <w:color w:val="auto"/>
                    </w:rPr>
                    <w:t>, El Caj</w:t>
                  </w:r>
                  <w:r w:rsidRPr="00C004AF">
                    <w:rPr>
                      <w:rFonts w:ascii="Arial" w:hAnsi="Arial" w:cs="Arial"/>
                      <w:color w:val="auto"/>
                    </w:rPr>
                    <w:t>ó</w:t>
                  </w:r>
                  <w:r w:rsidRPr="00C004AF">
                    <w:rPr>
                      <w:rFonts w:ascii="Arial" w:hAnsi="Arial"/>
                      <w:b w:val="0"/>
                      <w:color w:val="auto"/>
                    </w:rPr>
                    <w:t>n Dam, sites.lafayette.edu</w:t>
                  </w:r>
                </w:p>
              </w:txbxContent>
            </v:textbox>
            <w10:wrap type="square"/>
          </v:shape>
        </w:pict>
      </w:r>
      <w:r w:rsidR="000E328B">
        <w:rPr>
          <w:noProof/>
        </w:rPr>
        <w:drawing>
          <wp:anchor distT="0" distB="0" distL="114300" distR="114300" simplePos="0" relativeHeight="251675648" behindDoc="0" locked="0" layoutInCell="1" allowOverlap="1">
            <wp:simplePos x="0" y="0"/>
            <wp:positionH relativeFrom="column">
              <wp:posOffset>0</wp:posOffset>
            </wp:positionH>
            <wp:positionV relativeFrom="paragraph">
              <wp:posOffset>426720</wp:posOffset>
            </wp:positionV>
            <wp:extent cx="2971800" cy="2225675"/>
            <wp:effectExtent l="25400" t="0" r="0" b="0"/>
            <wp:wrapSquare wrapText="bothSides"/>
            <wp:docPr id="19" name="Picture 7" descr="Macintosh HD:Users:mollyslavin:Desktop:hondura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mollyslavin:Desktop:honduras.jpeg"/>
                    <pic:cNvPicPr>
                      <a:picLocks noChangeAspect="1" noChangeArrowheads="1"/>
                    </pic:cNvPicPr>
                  </pic:nvPicPr>
                  <pic:blipFill>
                    <a:blip r:embed="rId29"/>
                    <a:srcRect/>
                    <a:stretch>
                      <a:fillRect/>
                    </a:stretch>
                  </pic:blipFill>
                  <pic:spPr bwMode="auto">
                    <a:xfrm>
                      <a:off x="0" y="0"/>
                      <a:ext cx="2971800" cy="2225675"/>
                    </a:xfrm>
                    <a:prstGeom prst="rect">
                      <a:avLst/>
                    </a:prstGeom>
                    <a:noFill/>
                    <a:ln w="9525">
                      <a:noFill/>
                      <a:miter lim="800000"/>
                      <a:headEnd/>
                      <a:tailEnd/>
                    </a:ln>
                  </pic:spPr>
                </pic:pic>
              </a:graphicData>
            </a:graphic>
          </wp:anchor>
        </w:drawing>
      </w:r>
      <w:r w:rsidR="00665691">
        <w:rPr>
          <w:rFonts w:ascii="Arial" w:hAnsi="Arial" w:cs="Arial"/>
        </w:rPr>
        <w:t xml:space="preserve">The World Bank, the Inter-American Development Bank (both international financial institutions), and engineering and design contractors proposed this massive infrastructure project, yet many public figures and the general public, including Honduran engineers and professionals, pushed back against </w:t>
      </w:r>
      <w:r w:rsidR="00B67939">
        <w:rPr>
          <w:rFonts w:ascii="Arial" w:hAnsi="Arial" w:cs="Arial"/>
        </w:rPr>
        <w:t>it. The corporation that</w:t>
      </w:r>
      <w:r w:rsidR="00665691">
        <w:rPr>
          <w:rFonts w:ascii="Arial" w:hAnsi="Arial" w:cs="Arial"/>
        </w:rPr>
        <w:t xml:space="preserve"> had the opportunity to make revenue off of the dam, the Honduran national electric utility, opposed the grandeur of the project. The main concerns of protesting individuals were the size of the project (both in cost and in disruption of local environment), the danger to people in the downstream of the dam in case of dam failure, and the use of resources within the country that could be used in other, more modest projects. It was alternatively suggested that multiple dams should be produced for the same cost of El Cajón Dam to help decrease the overall environmental and displacement effect of the dam, while allowing for a spread of the resources and energy production throughout the country. The World Bank noted</w:t>
      </w:r>
      <w:r w:rsidR="00B67939">
        <w:rPr>
          <w:rFonts w:ascii="Arial" w:hAnsi="Arial" w:cs="Arial"/>
        </w:rPr>
        <w:t xml:space="preserve"> that the project was massive relative</w:t>
      </w:r>
      <w:r w:rsidR="00665691">
        <w:rPr>
          <w:rFonts w:ascii="Arial" w:hAnsi="Arial" w:cs="Arial"/>
        </w:rPr>
        <w:t xml:space="preserve"> to the size of the economy of Honduras, and because of the country’s small size and relatively small economy, it would take many years to pay off the projects’ debts. Regardless of the negative public feedback, the World Bank and its partners moved forward with the project. </w:t>
      </w:r>
    </w:p>
    <w:p w:rsidR="00665691" w:rsidRDefault="00665691" w:rsidP="00665691">
      <w:pPr>
        <w:spacing w:after="120" w:line="276" w:lineRule="auto"/>
        <w:rPr>
          <w:rFonts w:ascii="Arial" w:hAnsi="Arial" w:cs="Arial"/>
        </w:rPr>
      </w:pPr>
      <w:r>
        <w:rPr>
          <w:rFonts w:ascii="Arial" w:hAnsi="Arial" w:cs="Arial"/>
        </w:rPr>
        <w:t xml:space="preserve">El Cajón Dam is now considered a failure for many of the reasons anticipated by critics prior to its construction. The high cost of the dam’s construction has put the Honduran nation into deep debt, something exacerbated by the devaluation of its currency. The dam needed repairs and maintenance </w:t>
      </w:r>
      <w:r w:rsidR="00A03473">
        <w:rPr>
          <w:rFonts w:ascii="Arial" w:hAnsi="Arial" w:cs="Arial"/>
        </w:rPr>
        <w:t xml:space="preserve">just </w:t>
      </w:r>
      <w:r>
        <w:rPr>
          <w:rFonts w:ascii="Arial" w:hAnsi="Arial" w:cs="Arial"/>
        </w:rPr>
        <w:t>a few years after the completion of construction, which only increased project debts. Furthermore, the dam has not realized its estimated power generating capacity because of maintenance issues and drought in the area. In later reports, the World Bank recognized that those critical of the project were correct in their predictions. Because the World Bank dismissed the social, economic, and environment</w:t>
      </w:r>
      <w:r w:rsidR="00A03473">
        <w:rPr>
          <w:rFonts w:ascii="Arial" w:hAnsi="Arial" w:cs="Arial"/>
        </w:rPr>
        <w:t>al</w:t>
      </w:r>
      <w:r>
        <w:rPr>
          <w:rFonts w:ascii="Arial" w:hAnsi="Arial" w:cs="Arial"/>
        </w:rPr>
        <w:t xml:space="preserve"> contexts that drove criticism, they have incurred millions of dollars in debt for the Honduran nation. </w:t>
      </w:r>
    </w:p>
    <w:p w:rsidR="00665691" w:rsidRPr="00665691" w:rsidRDefault="003B2E4D" w:rsidP="00665691">
      <w:pPr>
        <w:spacing w:after="240" w:line="276" w:lineRule="auto"/>
        <w:ind w:left="720" w:hanging="720"/>
        <w:rPr>
          <w:rFonts w:ascii="Arial" w:hAnsi="Arial" w:cs="Arial"/>
        </w:rPr>
      </w:pPr>
      <w:r>
        <w:rPr>
          <w:rFonts w:ascii="Arial" w:hAnsi="Arial" w:cs="Arial"/>
        </w:rPr>
        <w:t>Lucena, Juan, Schneider, Jen &amp; Leydens, Jon A.</w:t>
      </w:r>
      <w:r w:rsidR="00665691">
        <w:rPr>
          <w:rFonts w:ascii="Arial" w:hAnsi="Arial" w:cs="Arial"/>
        </w:rPr>
        <w:t xml:space="preserve"> (2010). Listening to Community. In </w:t>
      </w:r>
      <w:r w:rsidR="00665691" w:rsidRPr="009D741C">
        <w:rPr>
          <w:rFonts w:ascii="Arial" w:hAnsi="Arial" w:cs="Arial"/>
          <w:i/>
        </w:rPr>
        <w:t>Engineering and Sustainable Community Development</w:t>
      </w:r>
      <w:r w:rsidR="00665691">
        <w:rPr>
          <w:rFonts w:ascii="Arial" w:hAnsi="Arial" w:cs="Arial"/>
          <w:i/>
        </w:rPr>
        <w:t xml:space="preserve"> </w:t>
      </w:r>
      <w:r w:rsidR="00665691">
        <w:rPr>
          <w:rFonts w:ascii="Arial" w:hAnsi="Arial" w:cs="Arial"/>
        </w:rPr>
        <w:t xml:space="preserve">(pp.118-121). San Rafael, CA: Morgan &amp; Claypool. </w:t>
      </w:r>
    </w:p>
    <w:p w:rsidR="00182347" w:rsidRDefault="00182347" w:rsidP="00F84990">
      <w:pPr>
        <w:pStyle w:val="Heading2"/>
        <w:spacing w:before="240" w:after="240" w:line="276" w:lineRule="auto"/>
        <w:rPr>
          <w:rFonts w:ascii="Georgia" w:hAnsi="Georgia"/>
          <w:b/>
          <w:color w:val="FF0000"/>
          <w:sz w:val="28"/>
          <w:szCs w:val="28"/>
        </w:rPr>
      </w:pPr>
      <w:r w:rsidRPr="006271DC">
        <w:rPr>
          <w:rFonts w:ascii="Georgia" w:hAnsi="Georgia"/>
          <w:b/>
          <w:color w:val="auto"/>
          <w:sz w:val="28"/>
          <w:szCs w:val="28"/>
        </w:rPr>
        <w:t>Admitting Failure</w:t>
      </w:r>
      <w:r w:rsidR="00AA785B">
        <w:rPr>
          <w:rFonts w:ascii="Georgia" w:hAnsi="Georgia"/>
          <w:b/>
          <w:color w:val="auto"/>
          <w:sz w:val="28"/>
          <w:szCs w:val="28"/>
        </w:rPr>
        <w:t xml:space="preserve"> </w:t>
      </w:r>
      <w:r w:rsidR="00665691">
        <w:rPr>
          <w:rFonts w:ascii="Georgia" w:hAnsi="Georgia"/>
          <w:b/>
          <w:color w:val="auto"/>
          <w:sz w:val="28"/>
          <w:szCs w:val="28"/>
        </w:rPr>
        <w:t>in International Development (One Three-Part Case Study)</w:t>
      </w:r>
    </w:p>
    <w:p w:rsidR="00C004AF" w:rsidRDefault="0054068F" w:rsidP="00665691">
      <w:pPr>
        <w:spacing w:line="276" w:lineRule="auto"/>
        <w:rPr>
          <w:rFonts w:ascii="Arial" w:hAnsi="Arial" w:cs="Arial"/>
        </w:rPr>
      </w:pPr>
      <w:r>
        <w:rPr>
          <w:rFonts w:ascii="Arial" w:hAnsi="Arial" w:cs="Arial"/>
        </w:rPr>
        <w:t xml:space="preserve">The following three stories of international development are examples of </w:t>
      </w:r>
      <w:r w:rsidR="00833A56">
        <w:rPr>
          <w:rFonts w:ascii="Arial" w:hAnsi="Arial" w:cs="Arial"/>
        </w:rPr>
        <w:t xml:space="preserve">projects failing </w:t>
      </w:r>
      <w:r w:rsidR="005D15D7">
        <w:rPr>
          <w:rFonts w:ascii="Arial" w:hAnsi="Arial" w:cs="Arial"/>
        </w:rPr>
        <w:t>due to</w:t>
      </w:r>
      <w:r w:rsidR="00833A56">
        <w:rPr>
          <w:rFonts w:ascii="Arial" w:hAnsi="Arial" w:cs="Arial"/>
        </w:rPr>
        <w:t xml:space="preserve"> not accounting for the social context of a communit</w:t>
      </w:r>
      <w:r>
        <w:rPr>
          <w:rFonts w:ascii="Arial" w:hAnsi="Arial" w:cs="Arial"/>
        </w:rPr>
        <w:t>y</w:t>
      </w:r>
      <w:r w:rsidR="00833A56">
        <w:rPr>
          <w:rFonts w:ascii="Arial" w:hAnsi="Arial" w:cs="Arial"/>
        </w:rPr>
        <w:t xml:space="preserve">. </w:t>
      </w:r>
      <w:r w:rsidR="005D15D7">
        <w:rPr>
          <w:rFonts w:ascii="Arial" w:hAnsi="Arial" w:cs="Arial"/>
        </w:rPr>
        <w:t>Each of these stories is</w:t>
      </w:r>
      <w:r w:rsidR="00B1363C">
        <w:rPr>
          <w:rFonts w:ascii="Arial" w:hAnsi="Arial" w:cs="Arial"/>
        </w:rPr>
        <w:t xml:space="preserve"> published on a website called</w:t>
      </w:r>
      <w:r w:rsidR="008447FC">
        <w:rPr>
          <w:rFonts w:ascii="Arial" w:hAnsi="Arial" w:cs="Arial"/>
        </w:rPr>
        <w:t xml:space="preserve"> </w:t>
      </w:r>
      <w:hyperlink r:id="rId30" w:history="1">
        <w:r w:rsidR="00B1363C" w:rsidRPr="008447FC">
          <w:rPr>
            <w:rStyle w:val="Hyperlink"/>
            <w:rFonts w:ascii="Arial" w:hAnsi="Arial" w:cs="Arial"/>
          </w:rPr>
          <w:t>Admitting Failure</w:t>
        </w:r>
      </w:hyperlink>
      <w:r w:rsidR="00302350">
        <w:rPr>
          <w:rFonts w:ascii="Arial" w:hAnsi="Arial" w:cs="Arial"/>
        </w:rPr>
        <w:t>,</w:t>
      </w:r>
      <w:r w:rsidR="008033B2">
        <w:rPr>
          <w:rFonts w:ascii="Arial" w:hAnsi="Arial" w:cs="Arial"/>
        </w:rPr>
        <w:t xml:space="preserve"> a blog run by Engineers Without Borders,</w:t>
      </w:r>
      <w:r w:rsidR="00302350">
        <w:rPr>
          <w:rFonts w:ascii="Arial" w:hAnsi="Arial" w:cs="Arial"/>
        </w:rPr>
        <w:t xml:space="preserve"> which </w:t>
      </w:r>
      <w:r w:rsidR="00C442D3">
        <w:rPr>
          <w:rFonts w:ascii="Arial" w:hAnsi="Arial" w:cs="Arial"/>
        </w:rPr>
        <w:t xml:space="preserve">views failure </w:t>
      </w:r>
      <w:r w:rsidR="008447FC">
        <w:rPr>
          <w:rFonts w:ascii="Arial" w:hAnsi="Arial" w:cs="Arial"/>
        </w:rPr>
        <w:t xml:space="preserve">as </w:t>
      </w:r>
      <w:r w:rsidR="00C442D3">
        <w:rPr>
          <w:rFonts w:ascii="Arial" w:hAnsi="Arial" w:cs="Arial"/>
        </w:rPr>
        <w:t>a learning</w:t>
      </w:r>
      <w:r w:rsidR="008033B2">
        <w:rPr>
          <w:rFonts w:ascii="Arial" w:hAnsi="Arial" w:cs="Arial"/>
        </w:rPr>
        <w:t xml:space="preserve"> opportunity and a chance for innovation.</w:t>
      </w:r>
    </w:p>
    <w:p w:rsidR="00C004AF" w:rsidRPr="00EF64AA" w:rsidRDefault="008033B2" w:rsidP="00EF64AA">
      <w:pPr>
        <w:spacing w:line="276" w:lineRule="auto"/>
        <w:rPr>
          <w:rFonts w:ascii="Arial" w:hAnsi="Arial" w:cs="Arial"/>
        </w:rPr>
      </w:pPr>
      <w:r>
        <w:rPr>
          <w:rFonts w:ascii="Arial" w:hAnsi="Arial" w:cs="Arial"/>
        </w:rPr>
        <w:t xml:space="preserve"> </w:t>
      </w:r>
    </w:p>
    <w:p w:rsidR="00B1363C" w:rsidRPr="00665691" w:rsidRDefault="00B1363C" w:rsidP="00F84990">
      <w:pPr>
        <w:spacing w:after="120" w:line="276" w:lineRule="auto"/>
        <w:rPr>
          <w:rFonts w:ascii="Arial" w:hAnsi="Arial" w:cs="Arial"/>
          <w:i/>
        </w:rPr>
      </w:pPr>
      <w:r w:rsidRPr="00665691">
        <w:rPr>
          <w:rFonts w:ascii="Arial" w:hAnsi="Arial" w:cs="Arial"/>
          <w:i/>
        </w:rPr>
        <w:t>A Nursery in Ghana</w:t>
      </w:r>
    </w:p>
    <w:p w:rsidR="00833A56" w:rsidRDefault="00182347" w:rsidP="00F84990">
      <w:pPr>
        <w:spacing w:after="120" w:line="276" w:lineRule="auto"/>
        <w:rPr>
          <w:rFonts w:ascii="Arial" w:hAnsi="Arial" w:cs="Arial"/>
        </w:rPr>
      </w:pPr>
      <w:r w:rsidRPr="00044A9C">
        <w:rPr>
          <w:rFonts w:ascii="Arial" w:hAnsi="Arial" w:cs="Arial"/>
        </w:rPr>
        <w:t>A researche</w:t>
      </w:r>
      <w:r w:rsidR="00C22BE0">
        <w:rPr>
          <w:rFonts w:ascii="Arial" w:hAnsi="Arial" w:cs="Arial"/>
        </w:rPr>
        <w:t>r working in a village in Ghana had some resources to put towards a village improvement project, one which he wanted the residents to identify and design themselves.</w:t>
      </w:r>
      <w:r w:rsidRPr="00044A9C">
        <w:rPr>
          <w:rFonts w:ascii="Arial" w:hAnsi="Arial" w:cs="Arial"/>
        </w:rPr>
        <w:t xml:space="preserve"> He and his cohort spoke with the men and women</w:t>
      </w:r>
      <w:r w:rsidR="007E0558">
        <w:rPr>
          <w:rFonts w:ascii="Arial" w:hAnsi="Arial" w:cs="Arial"/>
        </w:rPr>
        <w:t xml:space="preserve"> villagers</w:t>
      </w:r>
      <w:r w:rsidRPr="00044A9C">
        <w:rPr>
          <w:rFonts w:ascii="Arial" w:hAnsi="Arial" w:cs="Arial"/>
        </w:rPr>
        <w:t xml:space="preserve"> as a group</w:t>
      </w:r>
      <w:r w:rsidR="007E0558">
        <w:rPr>
          <w:rFonts w:ascii="Arial" w:hAnsi="Arial" w:cs="Arial"/>
        </w:rPr>
        <w:t>, but</w:t>
      </w:r>
      <w:r w:rsidRPr="00044A9C">
        <w:rPr>
          <w:rFonts w:ascii="Arial" w:hAnsi="Arial" w:cs="Arial"/>
        </w:rPr>
        <w:t xml:space="preserve"> the conversation was dominated by the men. One of the cohort spoke with the women alone and found that the women of the community wanted a nursery to give them more autonomy and a way to work outside of their households.</w:t>
      </w:r>
    </w:p>
    <w:p w:rsidR="00182347" w:rsidRPr="00044A9C" w:rsidRDefault="00DF3915" w:rsidP="00F84990">
      <w:pPr>
        <w:spacing w:after="120" w:line="276" w:lineRule="auto"/>
        <w:rPr>
          <w:rFonts w:ascii="Arial" w:hAnsi="Arial" w:cs="Arial"/>
        </w:rPr>
      </w:pPr>
      <w:r>
        <w:rPr>
          <w:rFonts w:ascii="Arial" w:hAnsi="Arial" w:cs="Arial"/>
        </w:rPr>
        <w:t>The researchers worked with community members to create a plan to raise the funding necessary to build a nursery, and t</w:t>
      </w:r>
      <w:r w:rsidR="00182347" w:rsidRPr="00044A9C">
        <w:rPr>
          <w:rFonts w:ascii="Arial" w:hAnsi="Arial" w:cs="Arial"/>
        </w:rPr>
        <w:t>he community only needed to mobilize the workforce</w:t>
      </w:r>
      <w:r>
        <w:rPr>
          <w:rFonts w:ascii="Arial" w:hAnsi="Arial" w:cs="Arial"/>
        </w:rPr>
        <w:t xml:space="preserve"> to do the building.</w:t>
      </w:r>
      <w:r w:rsidR="00182347" w:rsidRPr="00044A9C">
        <w:rPr>
          <w:rFonts w:ascii="Arial" w:hAnsi="Arial" w:cs="Arial"/>
        </w:rPr>
        <w:t xml:space="preserve"> The</w:t>
      </w:r>
      <w:r w:rsidR="001B1851">
        <w:rPr>
          <w:rFonts w:ascii="Arial" w:hAnsi="Arial" w:cs="Arial"/>
        </w:rPr>
        <w:t xml:space="preserve"> </w:t>
      </w:r>
      <w:r w:rsidR="00182347" w:rsidRPr="00044A9C">
        <w:rPr>
          <w:rFonts w:ascii="Arial" w:hAnsi="Arial" w:cs="Arial"/>
        </w:rPr>
        <w:t xml:space="preserve">researchers left the community </w:t>
      </w:r>
      <w:r w:rsidR="001B1851">
        <w:rPr>
          <w:rFonts w:ascii="Arial" w:hAnsi="Arial" w:cs="Arial"/>
        </w:rPr>
        <w:t>and</w:t>
      </w:r>
      <w:r w:rsidR="00182347" w:rsidRPr="00044A9C">
        <w:rPr>
          <w:rFonts w:ascii="Arial" w:hAnsi="Arial" w:cs="Arial"/>
        </w:rPr>
        <w:t xml:space="preserve"> returned for regular check-ins</w:t>
      </w:r>
      <w:r w:rsidR="00833A56">
        <w:rPr>
          <w:rFonts w:ascii="Arial" w:hAnsi="Arial" w:cs="Arial"/>
        </w:rPr>
        <w:t xml:space="preserve"> to find that </w:t>
      </w:r>
      <w:r>
        <w:rPr>
          <w:rFonts w:ascii="Arial" w:hAnsi="Arial" w:cs="Arial"/>
        </w:rPr>
        <w:t>t</w:t>
      </w:r>
      <w:r w:rsidR="00182347" w:rsidRPr="00044A9C">
        <w:rPr>
          <w:rFonts w:ascii="Arial" w:hAnsi="Arial" w:cs="Arial"/>
        </w:rPr>
        <w:t>he nursery was never built. The researcher</w:t>
      </w:r>
      <w:r w:rsidR="00833A56">
        <w:rPr>
          <w:rFonts w:ascii="Arial" w:hAnsi="Arial" w:cs="Arial"/>
        </w:rPr>
        <w:t>s, after speaking with community members,</w:t>
      </w:r>
      <w:r w:rsidR="00182347" w:rsidRPr="00044A9C">
        <w:rPr>
          <w:rFonts w:ascii="Arial" w:hAnsi="Arial" w:cs="Arial"/>
        </w:rPr>
        <w:t xml:space="preserve"> realized that the men had halted the plan because </w:t>
      </w:r>
      <w:r w:rsidR="00994743">
        <w:rPr>
          <w:rFonts w:ascii="Arial" w:hAnsi="Arial" w:cs="Arial"/>
        </w:rPr>
        <w:t xml:space="preserve">they did not want the </w:t>
      </w:r>
      <w:r w:rsidR="00182347" w:rsidRPr="00044A9C">
        <w:rPr>
          <w:rFonts w:ascii="Arial" w:hAnsi="Arial" w:cs="Arial"/>
        </w:rPr>
        <w:t xml:space="preserve">women of the community </w:t>
      </w:r>
      <w:r w:rsidR="00994743">
        <w:rPr>
          <w:rFonts w:ascii="Arial" w:hAnsi="Arial" w:cs="Arial"/>
        </w:rPr>
        <w:t xml:space="preserve">to have </w:t>
      </w:r>
      <w:r w:rsidR="00182347" w:rsidRPr="00044A9C">
        <w:rPr>
          <w:rFonts w:ascii="Arial" w:hAnsi="Arial" w:cs="Arial"/>
        </w:rPr>
        <w:t xml:space="preserve">more autonomy </w:t>
      </w:r>
      <w:r w:rsidR="00994743">
        <w:rPr>
          <w:rFonts w:ascii="Arial" w:hAnsi="Arial" w:cs="Arial"/>
        </w:rPr>
        <w:t xml:space="preserve">or to work </w:t>
      </w:r>
      <w:r w:rsidR="00182347" w:rsidRPr="00044A9C">
        <w:rPr>
          <w:rFonts w:ascii="Arial" w:hAnsi="Arial" w:cs="Arial"/>
        </w:rPr>
        <w:t>outside</w:t>
      </w:r>
      <w:r w:rsidR="00994743">
        <w:rPr>
          <w:rFonts w:ascii="Arial" w:hAnsi="Arial" w:cs="Arial"/>
        </w:rPr>
        <w:t xml:space="preserve"> the household. </w:t>
      </w:r>
      <w:r w:rsidR="0084009C">
        <w:rPr>
          <w:rFonts w:ascii="Arial" w:hAnsi="Arial" w:cs="Arial"/>
        </w:rPr>
        <w:t xml:space="preserve">More attention to gender relations in this community, and strategizing ways to work in that context, would have allowed the nursery to be built successfully. </w:t>
      </w:r>
    </w:p>
    <w:p w:rsidR="00665691" w:rsidRPr="00EE225E" w:rsidRDefault="00EE48A5" w:rsidP="00EE225E">
      <w:pPr>
        <w:spacing w:after="120" w:line="276" w:lineRule="auto"/>
        <w:ind w:left="720" w:hanging="720"/>
        <w:rPr>
          <w:rFonts w:ascii="Arial" w:hAnsi="Arial" w:cs="Arial"/>
        </w:rPr>
      </w:pPr>
      <w:r>
        <w:rPr>
          <w:rFonts w:ascii="Arial" w:hAnsi="Arial" w:cs="Arial"/>
        </w:rPr>
        <w:t>Carr, Edward. (2012</w:t>
      </w:r>
      <w:r w:rsidR="00182347" w:rsidRPr="00044A9C">
        <w:rPr>
          <w:rFonts w:ascii="Arial" w:hAnsi="Arial" w:cs="Arial"/>
        </w:rPr>
        <w:t xml:space="preserve">). </w:t>
      </w:r>
      <w:hyperlink r:id="rId31" w:history="1">
        <w:r w:rsidR="00182347" w:rsidRPr="00EE48A5">
          <w:rPr>
            <w:rStyle w:val="Hyperlink"/>
            <w:rFonts w:ascii="Arial" w:hAnsi="Arial" w:cs="Arial"/>
          </w:rPr>
          <w:t>Ed Fail: Lessons in Building a Nursery</w:t>
        </w:r>
      </w:hyperlink>
      <w:r w:rsidR="00182347" w:rsidRPr="00044A9C">
        <w:rPr>
          <w:rFonts w:ascii="Arial" w:hAnsi="Arial" w:cs="Arial"/>
        </w:rPr>
        <w:t xml:space="preserve">. </w:t>
      </w:r>
      <w:r>
        <w:rPr>
          <w:rFonts w:ascii="Arial" w:hAnsi="Arial" w:cs="Arial"/>
        </w:rPr>
        <w:t>Admitting Failure.</w:t>
      </w:r>
    </w:p>
    <w:p w:rsidR="00CF42A9" w:rsidRPr="00665691" w:rsidRDefault="00CF42A9" w:rsidP="00F84990">
      <w:pPr>
        <w:spacing w:after="120" w:line="276" w:lineRule="auto"/>
        <w:rPr>
          <w:rFonts w:ascii="Arial" w:hAnsi="Arial" w:cs="Arial"/>
          <w:i/>
        </w:rPr>
      </w:pPr>
      <w:r w:rsidRPr="00665691">
        <w:rPr>
          <w:rFonts w:ascii="Arial" w:hAnsi="Arial" w:cs="Arial"/>
          <w:i/>
        </w:rPr>
        <w:t>Baking Bread</w:t>
      </w:r>
    </w:p>
    <w:p w:rsidR="00CF42A9" w:rsidRDefault="00726B30" w:rsidP="00F84990">
      <w:pPr>
        <w:spacing w:after="120" w:line="276" w:lineRule="auto"/>
        <w:rPr>
          <w:rFonts w:ascii="Arial" w:hAnsi="Arial" w:cs="Arial"/>
        </w:rPr>
      </w:pPr>
      <w:r>
        <w:rPr>
          <w:rFonts w:ascii="Arial" w:hAnsi="Arial" w:cs="Arial"/>
        </w:rPr>
        <w:t>A Peace Corps Volunteer</w:t>
      </w:r>
      <w:r w:rsidR="00D232B9">
        <w:rPr>
          <w:rFonts w:ascii="Arial" w:hAnsi="Arial" w:cs="Arial"/>
        </w:rPr>
        <w:t xml:space="preserve"> (PCV)</w:t>
      </w:r>
      <w:r>
        <w:rPr>
          <w:rFonts w:ascii="Arial" w:hAnsi="Arial" w:cs="Arial"/>
        </w:rPr>
        <w:t xml:space="preserve"> worked with a group of women to create a baking business, baking fresh bread for a small village where there was no access to fresh bread otherwise. The </w:t>
      </w:r>
      <w:r w:rsidR="00D232B9">
        <w:rPr>
          <w:rFonts w:ascii="Arial" w:hAnsi="Arial" w:cs="Arial"/>
        </w:rPr>
        <w:t>PCV</w:t>
      </w:r>
      <w:r>
        <w:rPr>
          <w:rFonts w:ascii="Arial" w:hAnsi="Arial" w:cs="Arial"/>
        </w:rPr>
        <w:t xml:space="preserve"> </w:t>
      </w:r>
      <w:r w:rsidR="00797B85">
        <w:rPr>
          <w:rFonts w:ascii="Arial" w:hAnsi="Arial" w:cs="Arial"/>
        </w:rPr>
        <w:t>asked</w:t>
      </w:r>
      <w:r>
        <w:rPr>
          <w:rFonts w:ascii="Arial" w:hAnsi="Arial" w:cs="Arial"/>
        </w:rPr>
        <w:t xml:space="preserve"> these women to raise a small amount of capital while getting </w:t>
      </w:r>
      <w:r w:rsidR="00D035D6">
        <w:rPr>
          <w:rFonts w:ascii="Arial" w:hAnsi="Arial" w:cs="Arial"/>
        </w:rPr>
        <w:t>the majority of the funding</w:t>
      </w:r>
      <w:r>
        <w:rPr>
          <w:rFonts w:ascii="Arial" w:hAnsi="Arial" w:cs="Arial"/>
        </w:rPr>
        <w:t xml:space="preserve"> from</w:t>
      </w:r>
      <w:r w:rsidR="0084009C">
        <w:rPr>
          <w:rFonts w:ascii="Arial" w:hAnsi="Arial" w:cs="Arial"/>
        </w:rPr>
        <w:t xml:space="preserve"> the</w:t>
      </w:r>
      <w:r>
        <w:rPr>
          <w:rFonts w:ascii="Arial" w:hAnsi="Arial" w:cs="Arial"/>
        </w:rPr>
        <w:t xml:space="preserve"> Peace Corps ($100) to help fund the </w:t>
      </w:r>
      <w:r w:rsidR="00D035D6">
        <w:rPr>
          <w:rFonts w:ascii="Arial" w:hAnsi="Arial" w:cs="Arial"/>
        </w:rPr>
        <w:t>start-up of the bread-making business</w:t>
      </w:r>
      <w:r>
        <w:rPr>
          <w:rFonts w:ascii="Arial" w:hAnsi="Arial" w:cs="Arial"/>
        </w:rPr>
        <w:t xml:space="preserve">. </w:t>
      </w:r>
      <w:r w:rsidR="00D232B9">
        <w:rPr>
          <w:rFonts w:ascii="Arial" w:hAnsi="Arial" w:cs="Arial"/>
        </w:rPr>
        <w:t>While the village women made the bread and facilitated the selling, the PCV maintained the cashbox and kept th</w:t>
      </w:r>
      <w:r w:rsidR="00D035D6">
        <w:rPr>
          <w:rFonts w:ascii="Arial" w:hAnsi="Arial" w:cs="Arial"/>
        </w:rPr>
        <w:t>o</w:t>
      </w:r>
      <w:r w:rsidR="00D232B9">
        <w:rPr>
          <w:rFonts w:ascii="Arial" w:hAnsi="Arial" w:cs="Arial"/>
        </w:rPr>
        <w:t>rough rec</w:t>
      </w:r>
      <w:r w:rsidR="00551461">
        <w:rPr>
          <w:rFonts w:ascii="Arial" w:hAnsi="Arial" w:cs="Arial"/>
        </w:rPr>
        <w:t xml:space="preserve">ords. </w:t>
      </w:r>
      <w:r w:rsidR="00C828FF">
        <w:rPr>
          <w:rFonts w:ascii="Arial" w:hAnsi="Arial" w:cs="Arial"/>
        </w:rPr>
        <w:t xml:space="preserve">The small bread-making business was successful and brought in a small profit, which was intended </w:t>
      </w:r>
      <w:r w:rsidR="00D2782A">
        <w:rPr>
          <w:rFonts w:ascii="Arial" w:hAnsi="Arial" w:cs="Arial"/>
        </w:rPr>
        <w:t>to be reinvest</w:t>
      </w:r>
      <w:r w:rsidR="00994743">
        <w:rPr>
          <w:rFonts w:ascii="Arial" w:hAnsi="Arial" w:cs="Arial"/>
        </w:rPr>
        <w:t>ed</w:t>
      </w:r>
      <w:r w:rsidR="0084009C">
        <w:rPr>
          <w:rFonts w:ascii="Arial" w:hAnsi="Arial" w:cs="Arial"/>
        </w:rPr>
        <w:t xml:space="preserve"> into the bread</w:t>
      </w:r>
      <w:r w:rsidR="00D2782A">
        <w:rPr>
          <w:rFonts w:ascii="Arial" w:hAnsi="Arial" w:cs="Arial"/>
        </w:rPr>
        <w:t xml:space="preserve">-making business. </w:t>
      </w:r>
      <w:r w:rsidR="00D035D6">
        <w:rPr>
          <w:rFonts w:ascii="Arial" w:hAnsi="Arial" w:cs="Arial"/>
        </w:rPr>
        <w:t xml:space="preserve">Once the women seemed to have a good handle on </w:t>
      </w:r>
      <w:r w:rsidR="00C828FF">
        <w:rPr>
          <w:rFonts w:ascii="Arial" w:hAnsi="Arial" w:cs="Arial"/>
        </w:rPr>
        <w:t xml:space="preserve">the logistics of the company as well as seemed to be comfortable with managing the finances of the small company, the PCV gave the cash box and ledgers to the village women. Soon after, the bread-making stopped, and the village women split the </w:t>
      </w:r>
      <w:r w:rsidR="00D2782A">
        <w:rPr>
          <w:rFonts w:ascii="Arial" w:hAnsi="Arial" w:cs="Arial"/>
        </w:rPr>
        <w:t xml:space="preserve">profit. </w:t>
      </w:r>
      <w:r w:rsidR="003D58B6">
        <w:rPr>
          <w:rFonts w:ascii="Arial" w:hAnsi="Arial" w:cs="Arial"/>
        </w:rPr>
        <w:t xml:space="preserve">The PCV later realized that by not getting the village women to invest more of their own capital into the business, they were not as heavily invested in its long-term success. </w:t>
      </w:r>
      <w:r w:rsidR="00A84BBB">
        <w:rPr>
          <w:rFonts w:ascii="Arial" w:hAnsi="Arial" w:cs="Arial"/>
        </w:rPr>
        <w:t>When the PC</w:t>
      </w:r>
      <w:r w:rsidR="0084009C">
        <w:rPr>
          <w:rFonts w:ascii="Arial" w:hAnsi="Arial" w:cs="Arial"/>
        </w:rPr>
        <w:t>V was no longer part of the day-to-</w:t>
      </w:r>
      <w:r w:rsidR="00A84BBB">
        <w:rPr>
          <w:rFonts w:ascii="Arial" w:hAnsi="Arial" w:cs="Arial"/>
        </w:rPr>
        <w:t>day operations, the village women decided to dissolve the business and get an immediate financial return</w:t>
      </w:r>
      <w:r w:rsidR="00994743">
        <w:rPr>
          <w:rFonts w:ascii="Arial" w:hAnsi="Arial" w:cs="Arial"/>
        </w:rPr>
        <w:t xml:space="preserve">, something that they could immediately put to good use. </w:t>
      </w:r>
      <w:r w:rsidR="00A84BBB">
        <w:rPr>
          <w:rFonts w:ascii="Arial" w:hAnsi="Arial" w:cs="Arial"/>
        </w:rPr>
        <w:t xml:space="preserve"> </w:t>
      </w:r>
    </w:p>
    <w:p w:rsidR="0054068F" w:rsidRPr="00CF42A9" w:rsidRDefault="0054068F" w:rsidP="00E37202">
      <w:pPr>
        <w:spacing w:after="120" w:line="276" w:lineRule="auto"/>
        <w:ind w:left="720" w:hanging="720"/>
        <w:rPr>
          <w:rFonts w:ascii="Arial" w:hAnsi="Arial" w:cs="Arial"/>
        </w:rPr>
      </w:pPr>
      <w:r>
        <w:rPr>
          <w:rFonts w:ascii="Arial" w:hAnsi="Arial" w:cs="Arial"/>
        </w:rPr>
        <w:t>Uhl, A</w:t>
      </w:r>
      <w:r w:rsidR="002F549C">
        <w:rPr>
          <w:rFonts w:ascii="Arial" w:hAnsi="Arial" w:cs="Arial"/>
        </w:rPr>
        <w:t xml:space="preserve">nthony. (2012). </w:t>
      </w:r>
      <w:hyperlink r:id="rId32" w:history="1">
        <w:r w:rsidR="002F549C" w:rsidRPr="002F549C">
          <w:rPr>
            <w:rStyle w:val="Hyperlink"/>
            <w:rFonts w:ascii="Arial" w:hAnsi="Arial" w:cs="Arial"/>
          </w:rPr>
          <w:t>Why a Small Business that Started So Well, Ended So Q</w:t>
        </w:r>
        <w:r w:rsidRPr="002F549C">
          <w:rPr>
            <w:rStyle w:val="Hyperlink"/>
            <w:rFonts w:ascii="Arial" w:hAnsi="Arial" w:cs="Arial"/>
          </w:rPr>
          <w:t>uickly</w:t>
        </w:r>
      </w:hyperlink>
      <w:r>
        <w:rPr>
          <w:rFonts w:ascii="Arial" w:hAnsi="Arial" w:cs="Arial"/>
        </w:rPr>
        <w:t xml:space="preserve">. </w:t>
      </w:r>
      <w:r w:rsidR="002F549C">
        <w:rPr>
          <w:rFonts w:ascii="Arial" w:hAnsi="Arial" w:cs="Arial"/>
        </w:rPr>
        <w:t>Admitting Failure.</w:t>
      </w:r>
    </w:p>
    <w:p w:rsidR="0001037D" w:rsidRPr="00665691" w:rsidRDefault="0001037D" w:rsidP="00F84990">
      <w:pPr>
        <w:spacing w:after="120" w:line="276" w:lineRule="auto"/>
        <w:rPr>
          <w:rFonts w:ascii="Arial" w:hAnsi="Arial" w:cs="Arial"/>
          <w:i/>
        </w:rPr>
      </w:pPr>
      <w:r w:rsidRPr="00665691">
        <w:rPr>
          <w:rFonts w:ascii="Arial" w:hAnsi="Arial" w:cs="Arial"/>
          <w:i/>
        </w:rPr>
        <w:t>Solar Cookers</w:t>
      </w:r>
    </w:p>
    <w:p w:rsidR="0065441C" w:rsidRPr="00044A9C" w:rsidRDefault="0065441C" w:rsidP="00F84990">
      <w:pPr>
        <w:spacing w:after="120" w:line="276" w:lineRule="auto"/>
        <w:rPr>
          <w:rFonts w:ascii="Arial" w:hAnsi="Arial" w:cs="Arial"/>
        </w:rPr>
      </w:pPr>
      <w:r w:rsidRPr="00044A9C">
        <w:rPr>
          <w:rFonts w:ascii="Arial" w:hAnsi="Arial" w:cs="Arial"/>
        </w:rPr>
        <w:t xml:space="preserve">A researcher in Kenya intended to lessen use of firewood in villages by installing solar cookers. </w:t>
      </w:r>
      <w:r w:rsidR="007E0558">
        <w:rPr>
          <w:rFonts w:ascii="Arial" w:hAnsi="Arial" w:cs="Arial"/>
        </w:rPr>
        <w:t>But in order to use the cookers, villagers would have to cook outside. A</w:t>
      </w:r>
      <w:r w:rsidRPr="00044A9C">
        <w:rPr>
          <w:rFonts w:ascii="Arial" w:hAnsi="Arial" w:cs="Arial"/>
        </w:rPr>
        <w:t xml:space="preserve">fter making very little progress </w:t>
      </w:r>
      <w:r w:rsidR="007E0558">
        <w:rPr>
          <w:rFonts w:ascii="Arial" w:hAnsi="Arial" w:cs="Arial"/>
        </w:rPr>
        <w:t xml:space="preserve">the researcher learned that this community considered it taboo to </w:t>
      </w:r>
      <w:r w:rsidRPr="00044A9C">
        <w:rPr>
          <w:rFonts w:ascii="Arial" w:hAnsi="Arial" w:cs="Arial"/>
        </w:rPr>
        <w:t xml:space="preserve">cook </w:t>
      </w:r>
      <w:r w:rsidR="007E0558">
        <w:rPr>
          <w:rFonts w:ascii="Arial" w:hAnsi="Arial" w:cs="Arial"/>
        </w:rPr>
        <w:t xml:space="preserve">in </w:t>
      </w:r>
      <w:r w:rsidRPr="00044A9C">
        <w:rPr>
          <w:rFonts w:ascii="Arial" w:hAnsi="Arial" w:cs="Arial"/>
        </w:rPr>
        <w:t>the open</w:t>
      </w:r>
      <w:r w:rsidR="007E0558">
        <w:rPr>
          <w:rFonts w:ascii="Arial" w:hAnsi="Arial" w:cs="Arial"/>
        </w:rPr>
        <w:t xml:space="preserve">, </w:t>
      </w:r>
      <w:r w:rsidRPr="00044A9C">
        <w:rPr>
          <w:rFonts w:ascii="Arial" w:hAnsi="Arial" w:cs="Arial"/>
        </w:rPr>
        <w:t xml:space="preserve">because in times of near starvation, it is considered rude to show that a household has food while others may not. </w:t>
      </w:r>
      <w:r w:rsidR="007E0558">
        <w:rPr>
          <w:rFonts w:ascii="Arial" w:hAnsi="Arial" w:cs="Arial"/>
        </w:rPr>
        <w:t xml:space="preserve">For this reason, villagers continued to use firewood. </w:t>
      </w:r>
      <w:r w:rsidRPr="00044A9C">
        <w:rPr>
          <w:rFonts w:ascii="Arial" w:hAnsi="Arial" w:cs="Arial"/>
        </w:rPr>
        <w:t>Because the researcher did not understand the social context of these communities, he was promoting a</w:t>
      </w:r>
      <w:r w:rsidR="007C4B9F">
        <w:rPr>
          <w:rFonts w:ascii="Arial" w:hAnsi="Arial" w:cs="Arial"/>
        </w:rPr>
        <w:t xml:space="preserve">n impractical </w:t>
      </w:r>
      <w:r w:rsidRPr="00044A9C">
        <w:rPr>
          <w:rFonts w:ascii="Arial" w:hAnsi="Arial" w:cs="Arial"/>
        </w:rPr>
        <w:t>technology</w:t>
      </w:r>
      <w:r w:rsidR="007C4B9F">
        <w:rPr>
          <w:rFonts w:ascii="Arial" w:hAnsi="Arial" w:cs="Arial"/>
        </w:rPr>
        <w:t>.</w:t>
      </w:r>
    </w:p>
    <w:p w:rsidR="007C4B9F" w:rsidRPr="00994743" w:rsidRDefault="0065441C" w:rsidP="00994743">
      <w:pPr>
        <w:spacing w:after="120" w:line="276" w:lineRule="auto"/>
        <w:ind w:left="720" w:hanging="720"/>
        <w:rPr>
          <w:rFonts w:ascii="Arial" w:hAnsi="Arial" w:cs="Arial"/>
        </w:rPr>
      </w:pPr>
      <w:r w:rsidRPr="00044A9C">
        <w:rPr>
          <w:rFonts w:ascii="Arial" w:hAnsi="Arial" w:cs="Arial"/>
        </w:rPr>
        <w:t>Goldmann, M</w:t>
      </w:r>
      <w:r w:rsidR="002F549C">
        <w:rPr>
          <w:rFonts w:ascii="Arial" w:hAnsi="Arial" w:cs="Arial"/>
        </w:rPr>
        <w:t>attias. (2012</w:t>
      </w:r>
      <w:r w:rsidRPr="00044A9C">
        <w:rPr>
          <w:rFonts w:ascii="Arial" w:hAnsi="Arial" w:cs="Arial"/>
        </w:rPr>
        <w:t xml:space="preserve">). </w:t>
      </w:r>
      <w:hyperlink r:id="rId33" w:history="1">
        <w:r w:rsidRPr="002F549C">
          <w:rPr>
            <w:rStyle w:val="Hyperlink"/>
            <w:rFonts w:ascii="Arial" w:hAnsi="Arial" w:cs="Arial"/>
          </w:rPr>
          <w:t>Failure to Understand Local Context</w:t>
        </w:r>
      </w:hyperlink>
      <w:r w:rsidRPr="00044A9C">
        <w:rPr>
          <w:rFonts w:ascii="Arial" w:hAnsi="Arial" w:cs="Arial"/>
        </w:rPr>
        <w:t xml:space="preserve">. </w:t>
      </w:r>
      <w:r w:rsidR="002F549C">
        <w:rPr>
          <w:rFonts w:ascii="Arial" w:hAnsi="Arial" w:cs="Arial"/>
        </w:rPr>
        <w:t>Admitting Failure.</w:t>
      </w:r>
    </w:p>
    <w:p w:rsidR="00E670D9" w:rsidRPr="006271DC" w:rsidRDefault="00E670D9" w:rsidP="00F84990">
      <w:pPr>
        <w:pStyle w:val="Heading2"/>
        <w:spacing w:before="240" w:after="240" w:line="276" w:lineRule="auto"/>
        <w:rPr>
          <w:rFonts w:ascii="Georgia" w:hAnsi="Georgia"/>
          <w:b/>
          <w:color w:val="auto"/>
          <w:sz w:val="28"/>
          <w:szCs w:val="28"/>
        </w:rPr>
      </w:pPr>
      <w:bookmarkStart w:id="3" w:name="_Hlk526157739"/>
      <w:r w:rsidRPr="006271DC">
        <w:rPr>
          <w:rFonts w:ascii="Georgia" w:hAnsi="Georgia"/>
          <w:b/>
          <w:color w:val="auto"/>
          <w:sz w:val="28"/>
          <w:szCs w:val="28"/>
        </w:rPr>
        <w:t>Want to help someone? Shut up and listen! (video</w:t>
      </w:r>
      <w:r w:rsidR="00994743">
        <w:rPr>
          <w:rFonts w:ascii="Georgia" w:hAnsi="Georgia"/>
          <w:b/>
          <w:color w:val="auto"/>
          <w:sz w:val="28"/>
          <w:szCs w:val="28"/>
        </w:rPr>
        <w:t xml:space="preserve"> – 17 minutes</w:t>
      </w:r>
      <w:r w:rsidRPr="006271DC">
        <w:rPr>
          <w:rFonts w:ascii="Georgia" w:hAnsi="Georgia"/>
          <w:b/>
          <w:color w:val="auto"/>
          <w:sz w:val="28"/>
          <w:szCs w:val="28"/>
        </w:rPr>
        <w:t>)</w:t>
      </w:r>
    </w:p>
    <w:p w:rsidR="00E670D9" w:rsidRDefault="0020309A" w:rsidP="00F84990">
      <w:pPr>
        <w:spacing w:after="120" w:line="276" w:lineRule="auto"/>
        <w:rPr>
          <w:rFonts w:ascii="Arial" w:hAnsi="Arial" w:cs="Arial"/>
        </w:rPr>
      </w:pPr>
      <w:r w:rsidRPr="0020309A">
        <w:rPr>
          <w:noProof/>
        </w:rPr>
        <w:pict>
          <v:shape id="_x0000_s1039" type="#_x0000_t202" style="position:absolute;margin-left:9.75pt;margin-top:127.4pt;width:211pt;height:31.5pt;z-index:251680768;mso-position-horizontal:absolute;mso-position-vertical:absolute" filled="f" stroked="f">
            <v:fill o:detectmouseclick="t"/>
            <v:textbox style="mso-fit-shape-to-text:t" inset="0,0,0,0">
              <w:txbxContent>
                <w:p w:rsidR="001E1E61" w:rsidRPr="000603F9" w:rsidRDefault="001E1E61" w:rsidP="000603F9">
                  <w:pPr>
                    <w:pStyle w:val="Caption"/>
                    <w:rPr>
                      <w:rFonts w:ascii="Arial" w:hAnsi="Arial"/>
                      <w:b w:val="0"/>
                      <w:color w:val="auto"/>
                    </w:rPr>
                  </w:pPr>
                  <w:r w:rsidRPr="000603F9">
                    <w:rPr>
                      <w:rFonts w:ascii="Arial" w:hAnsi="Arial"/>
                      <w:b w:val="0"/>
                      <w:color w:val="auto"/>
                    </w:rPr>
                    <w:t xml:space="preserve">Figure </w:t>
                  </w:r>
                  <w:r w:rsidR="0020309A" w:rsidRPr="000603F9">
                    <w:rPr>
                      <w:rFonts w:ascii="Arial" w:hAnsi="Arial"/>
                      <w:b w:val="0"/>
                      <w:color w:val="auto"/>
                    </w:rPr>
                    <w:fldChar w:fldCharType="begin"/>
                  </w:r>
                  <w:r w:rsidRPr="000603F9">
                    <w:rPr>
                      <w:rFonts w:ascii="Arial" w:hAnsi="Arial"/>
                      <w:b w:val="0"/>
                      <w:color w:val="auto"/>
                    </w:rPr>
                    <w:instrText xml:space="preserve"> SEQ Figure \* ARABIC </w:instrText>
                  </w:r>
                  <w:r w:rsidR="0020309A" w:rsidRPr="000603F9">
                    <w:rPr>
                      <w:rFonts w:ascii="Arial" w:hAnsi="Arial"/>
                      <w:b w:val="0"/>
                      <w:color w:val="auto"/>
                    </w:rPr>
                    <w:fldChar w:fldCharType="separate"/>
                  </w:r>
                  <w:r>
                    <w:rPr>
                      <w:rFonts w:ascii="Arial" w:hAnsi="Arial"/>
                      <w:b w:val="0"/>
                      <w:noProof/>
                      <w:color w:val="auto"/>
                    </w:rPr>
                    <w:t>8</w:t>
                  </w:r>
                  <w:r w:rsidR="0020309A" w:rsidRPr="000603F9">
                    <w:rPr>
                      <w:rFonts w:ascii="Arial" w:hAnsi="Arial"/>
                      <w:b w:val="0"/>
                      <w:color w:val="auto"/>
                    </w:rPr>
                    <w:fldChar w:fldCharType="end"/>
                  </w:r>
                  <w:r w:rsidRPr="000603F9">
                    <w:rPr>
                      <w:rFonts w:ascii="Arial" w:hAnsi="Arial"/>
                      <w:b w:val="0"/>
                      <w:color w:val="auto"/>
                    </w:rPr>
                    <w:t>, Ernesto Sirolli, sirolli.com</w:t>
                  </w:r>
                </w:p>
              </w:txbxContent>
            </v:textbox>
            <w10:wrap type="square"/>
          </v:shape>
        </w:pict>
      </w:r>
      <w:r w:rsidR="000603F9">
        <w:rPr>
          <w:noProof/>
        </w:rPr>
        <w:drawing>
          <wp:anchor distT="0" distB="0" distL="114300" distR="114300" simplePos="0" relativeHeight="251678720" behindDoc="0" locked="0" layoutInCell="1" allowOverlap="1">
            <wp:simplePos x="0" y="0"/>
            <wp:positionH relativeFrom="column">
              <wp:posOffset>114300</wp:posOffset>
            </wp:positionH>
            <wp:positionV relativeFrom="paragraph">
              <wp:posOffset>17780</wp:posOffset>
            </wp:positionV>
            <wp:extent cx="2679700" cy="1498600"/>
            <wp:effectExtent l="25400" t="0" r="0" b="0"/>
            <wp:wrapSquare wrapText="bothSides"/>
            <wp:docPr id="26" name="Picture 9" descr="Macintosh HD:Users:mollyslavin:Desktop:siroll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mollyslavin:Desktop:sirolli.jpeg"/>
                    <pic:cNvPicPr>
                      <a:picLocks noChangeAspect="1" noChangeArrowheads="1"/>
                    </pic:cNvPicPr>
                  </pic:nvPicPr>
                  <pic:blipFill>
                    <a:blip r:embed="rId34"/>
                    <a:srcRect/>
                    <a:stretch>
                      <a:fillRect/>
                    </a:stretch>
                  </pic:blipFill>
                  <pic:spPr bwMode="auto">
                    <a:xfrm>
                      <a:off x="0" y="0"/>
                      <a:ext cx="2679700" cy="1498600"/>
                    </a:xfrm>
                    <a:prstGeom prst="rect">
                      <a:avLst/>
                    </a:prstGeom>
                    <a:noFill/>
                    <a:ln w="9525">
                      <a:noFill/>
                      <a:miter lim="800000"/>
                      <a:headEnd/>
                      <a:tailEnd/>
                    </a:ln>
                  </pic:spPr>
                </pic:pic>
              </a:graphicData>
            </a:graphic>
          </wp:anchor>
        </w:drawing>
      </w:r>
      <w:r w:rsidR="003D0B09" w:rsidRPr="003D0B09">
        <w:rPr>
          <w:rFonts w:ascii="Arial" w:hAnsi="Arial" w:cs="Arial"/>
        </w:rPr>
        <w:t>Ernesto Sirolli has been working in international aid for decades. In his TED Talk, he discusses the ways that international aid workers often harm the</w:t>
      </w:r>
      <w:r w:rsidR="0084009C">
        <w:rPr>
          <w:rFonts w:ascii="Arial" w:hAnsi="Arial" w:cs="Arial"/>
        </w:rPr>
        <w:t xml:space="preserve"> communities they work within, b</w:t>
      </w:r>
      <w:r w:rsidR="003D0B09" w:rsidRPr="003D0B09">
        <w:rPr>
          <w:rFonts w:ascii="Arial" w:hAnsi="Arial" w:cs="Arial"/>
        </w:rPr>
        <w:t xml:space="preserve">ecause aid workers are too impatient and do not often take the time to </w:t>
      </w:r>
      <w:r w:rsidR="0084009C">
        <w:rPr>
          <w:rFonts w:ascii="Arial" w:hAnsi="Arial" w:cs="Arial"/>
        </w:rPr>
        <w:t>listen to the community’s needs.</w:t>
      </w:r>
      <w:r w:rsidR="003D0B09" w:rsidRPr="003D0B09">
        <w:rPr>
          <w:rFonts w:ascii="Arial" w:hAnsi="Arial" w:cs="Arial"/>
        </w:rPr>
        <w:t xml:space="preserve"> Sirolli suggests that for international aid to be long-lasting and sustainable, aid organizations need to “shut up and listen.” </w:t>
      </w:r>
      <w:r w:rsidR="00E670D9">
        <w:rPr>
          <w:rFonts w:ascii="Arial" w:hAnsi="Arial" w:cs="Arial"/>
        </w:rPr>
        <w:t xml:space="preserve"> </w:t>
      </w:r>
    </w:p>
    <w:p w:rsidR="00E37202" w:rsidRPr="00E37202" w:rsidRDefault="00E37202" w:rsidP="00E37202">
      <w:pPr>
        <w:spacing w:after="120" w:line="276" w:lineRule="auto"/>
        <w:ind w:left="720" w:hanging="720"/>
        <w:rPr>
          <w:rFonts w:ascii="Arial" w:hAnsi="Arial" w:cs="Arial"/>
          <w:b/>
        </w:rPr>
      </w:pPr>
      <w:r w:rsidRPr="00E37202">
        <w:rPr>
          <w:rFonts w:ascii="Arial" w:hAnsi="Arial" w:cs="Arial"/>
          <w:b/>
        </w:rPr>
        <w:t>Works Cited</w:t>
      </w:r>
    </w:p>
    <w:p w:rsidR="002F549C" w:rsidRDefault="002F549C" w:rsidP="00E37202">
      <w:pPr>
        <w:spacing w:after="120" w:line="276" w:lineRule="auto"/>
        <w:ind w:left="720" w:hanging="720"/>
        <w:rPr>
          <w:rFonts w:ascii="Arial" w:hAnsi="Arial" w:cs="Arial"/>
        </w:rPr>
      </w:pPr>
      <w:r>
        <w:rPr>
          <w:rFonts w:ascii="Arial" w:hAnsi="Arial" w:cs="Arial"/>
        </w:rPr>
        <w:t xml:space="preserve">Sirolli, Ernesto. (2012). </w:t>
      </w:r>
      <w:hyperlink r:id="rId35" w:history="1">
        <w:r w:rsidRPr="002F549C">
          <w:rPr>
            <w:rStyle w:val="Hyperlink"/>
            <w:rFonts w:ascii="Arial" w:hAnsi="Arial" w:cs="Arial"/>
          </w:rPr>
          <w:t>Ernesto Sirolli: Want to Help Someone? Shut Up and L</w:t>
        </w:r>
        <w:r w:rsidR="00E670D9" w:rsidRPr="002F549C">
          <w:rPr>
            <w:rStyle w:val="Hyperlink"/>
            <w:rFonts w:ascii="Arial" w:hAnsi="Arial" w:cs="Arial"/>
          </w:rPr>
          <w:t>isten!</w:t>
        </w:r>
      </w:hyperlink>
      <w:r>
        <w:rPr>
          <w:rFonts w:ascii="Arial" w:hAnsi="Arial" w:cs="Arial"/>
        </w:rPr>
        <w:t>. TED Talks.</w:t>
      </w:r>
      <w:r w:rsidR="00E670D9" w:rsidRPr="002C7F21">
        <w:rPr>
          <w:rFonts w:ascii="Arial" w:hAnsi="Arial" w:cs="Arial"/>
        </w:rPr>
        <w:t xml:space="preserve"> </w:t>
      </w:r>
    </w:p>
    <w:p w:rsidR="008370A0" w:rsidRDefault="008370A0" w:rsidP="00E37202">
      <w:pPr>
        <w:spacing w:after="120" w:line="276" w:lineRule="auto"/>
        <w:ind w:left="720" w:hanging="720"/>
        <w:rPr>
          <w:rFonts w:ascii="Arial" w:hAnsi="Arial" w:cs="Arial"/>
        </w:rPr>
      </w:pPr>
    </w:p>
    <w:p w:rsidR="008370A0" w:rsidRDefault="008370A0" w:rsidP="00E37202">
      <w:pPr>
        <w:spacing w:after="120" w:line="276" w:lineRule="auto"/>
        <w:ind w:left="720" w:hanging="720"/>
        <w:rPr>
          <w:rFonts w:ascii="Arial" w:hAnsi="Arial" w:cs="Arial"/>
        </w:rPr>
      </w:pPr>
    </w:p>
    <w:p w:rsidR="008370A0" w:rsidRDefault="008370A0" w:rsidP="00E37202">
      <w:pPr>
        <w:spacing w:after="120" w:line="276" w:lineRule="auto"/>
        <w:ind w:left="720" w:hanging="720"/>
        <w:rPr>
          <w:rFonts w:ascii="Arial" w:hAnsi="Arial" w:cs="Arial"/>
        </w:rPr>
      </w:pPr>
    </w:p>
    <w:p w:rsidR="008370A0" w:rsidRDefault="008370A0" w:rsidP="00E37202">
      <w:pPr>
        <w:spacing w:after="120" w:line="276" w:lineRule="auto"/>
        <w:ind w:left="720" w:hanging="720"/>
        <w:rPr>
          <w:rFonts w:ascii="Arial" w:hAnsi="Arial" w:cs="Arial"/>
        </w:rPr>
      </w:pPr>
    </w:p>
    <w:p w:rsidR="008370A0" w:rsidRDefault="008370A0" w:rsidP="00E37202">
      <w:pPr>
        <w:spacing w:after="120" w:line="276" w:lineRule="auto"/>
        <w:ind w:left="720" w:hanging="720"/>
        <w:rPr>
          <w:rFonts w:ascii="Arial" w:hAnsi="Arial" w:cs="Arial"/>
        </w:rPr>
      </w:pPr>
    </w:p>
    <w:p w:rsidR="008370A0" w:rsidRDefault="008370A0" w:rsidP="00E37202">
      <w:pPr>
        <w:spacing w:after="120" w:line="276" w:lineRule="auto"/>
        <w:ind w:left="720" w:hanging="720"/>
        <w:rPr>
          <w:rFonts w:ascii="Arial" w:hAnsi="Arial" w:cs="Arial"/>
        </w:rPr>
      </w:pPr>
    </w:p>
    <w:p w:rsidR="008370A0" w:rsidRDefault="008370A0" w:rsidP="00E37202">
      <w:pPr>
        <w:spacing w:after="120" w:line="276" w:lineRule="auto"/>
        <w:ind w:left="720" w:hanging="720"/>
        <w:rPr>
          <w:rFonts w:ascii="Arial" w:hAnsi="Arial" w:cs="Arial"/>
        </w:rPr>
      </w:pPr>
    </w:p>
    <w:p w:rsidR="008370A0" w:rsidRDefault="008370A0" w:rsidP="00E37202">
      <w:pPr>
        <w:spacing w:after="120" w:line="276" w:lineRule="auto"/>
        <w:ind w:left="720" w:hanging="720"/>
        <w:rPr>
          <w:rFonts w:ascii="Arial" w:hAnsi="Arial" w:cs="Arial"/>
        </w:rPr>
      </w:pPr>
    </w:p>
    <w:p w:rsidR="008370A0" w:rsidRDefault="008370A0" w:rsidP="00E37202">
      <w:pPr>
        <w:spacing w:after="120" w:line="276" w:lineRule="auto"/>
        <w:ind w:left="720" w:hanging="720"/>
        <w:rPr>
          <w:rFonts w:ascii="Arial" w:hAnsi="Arial" w:cs="Arial"/>
        </w:rPr>
      </w:pPr>
    </w:p>
    <w:p w:rsidR="008370A0" w:rsidRDefault="008370A0" w:rsidP="00E37202">
      <w:pPr>
        <w:spacing w:after="120" w:line="276" w:lineRule="auto"/>
        <w:ind w:left="720" w:hanging="720"/>
        <w:rPr>
          <w:rFonts w:ascii="Arial" w:hAnsi="Arial" w:cs="Arial"/>
        </w:rPr>
      </w:pPr>
    </w:p>
    <w:p w:rsidR="00AA785B" w:rsidRPr="00AB0BD5" w:rsidRDefault="00AA785B" w:rsidP="00E37202">
      <w:pPr>
        <w:spacing w:after="120" w:line="276" w:lineRule="auto"/>
        <w:ind w:left="720" w:hanging="720"/>
        <w:rPr>
          <w:rFonts w:ascii="Arial" w:hAnsi="Arial" w:cs="Arial"/>
        </w:rPr>
      </w:pPr>
    </w:p>
    <w:p w:rsidR="008F5EB2" w:rsidRPr="008F5EB2" w:rsidRDefault="008F5EB2" w:rsidP="008F5EB2">
      <w:pPr>
        <w:pStyle w:val="Heading1"/>
        <w:spacing w:before="360" w:after="360" w:line="276" w:lineRule="auto"/>
        <w:rPr>
          <w:rFonts w:ascii="Georgia" w:hAnsi="Georgia"/>
          <w:b/>
          <w:color w:val="auto"/>
        </w:rPr>
      </w:pPr>
      <w:r>
        <w:rPr>
          <w:rFonts w:ascii="Georgia" w:hAnsi="Georgia"/>
          <w:b/>
          <w:color w:val="auto"/>
        </w:rPr>
        <w:t>Category 3: S</w:t>
      </w:r>
      <w:r w:rsidRPr="008F5EB2">
        <w:rPr>
          <w:rFonts w:ascii="Georgia" w:hAnsi="Georgia"/>
          <w:b/>
          <w:color w:val="auto"/>
        </w:rPr>
        <w:t>ituations where projects succeed</w:t>
      </w:r>
      <w:r w:rsidR="00273B96">
        <w:rPr>
          <w:rFonts w:ascii="Georgia" w:hAnsi="Georgia"/>
          <w:b/>
          <w:color w:val="auto"/>
        </w:rPr>
        <w:t>, ethically and otherwise,</w:t>
      </w:r>
      <w:r w:rsidRPr="008F5EB2">
        <w:rPr>
          <w:rFonts w:ascii="Georgia" w:hAnsi="Georgia"/>
          <w:b/>
          <w:color w:val="auto"/>
        </w:rPr>
        <w:t xml:space="preserve"> by accounting for the social context of a community</w:t>
      </w:r>
    </w:p>
    <w:bookmarkEnd w:id="3"/>
    <w:p w:rsidR="008056B7" w:rsidRPr="006271DC" w:rsidRDefault="008056B7" w:rsidP="00F84990">
      <w:pPr>
        <w:pStyle w:val="Heading2"/>
        <w:spacing w:before="240" w:after="240" w:line="276" w:lineRule="auto"/>
        <w:rPr>
          <w:rFonts w:ascii="Georgia" w:hAnsi="Georgia"/>
          <w:b/>
          <w:color w:val="auto"/>
          <w:sz w:val="28"/>
          <w:szCs w:val="28"/>
        </w:rPr>
      </w:pPr>
      <w:r w:rsidRPr="006271DC">
        <w:rPr>
          <w:rFonts w:ascii="Georgia" w:hAnsi="Georgia"/>
          <w:b/>
          <w:color w:val="auto"/>
          <w:sz w:val="28"/>
          <w:szCs w:val="28"/>
        </w:rPr>
        <w:t xml:space="preserve">Adjusting to </w:t>
      </w:r>
      <w:r w:rsidR="001257E5">
        <w:rPr>
          <w:rFonts w:ascii="Georgia" w:hAnsi="Georgia"/>
          <w:b/>
          <w:color w:val="auto"/>
          <w:sz w:val="28"/>
          <w:szCs w:val="28"/>
        </w:rPr>
        <w:t>the Needs of the Local Population: Liberia and Mental Health</w:t>
      </w:r>
      <w:r w:rsidR="004D320E">
        <w:rPr>
          <w:rFonts w:ascii="Georgia" w:hAnsi="Georgia"/>
          <w:b/>
          <w:color w:val="auto"/>
          <w:sz w:val="28"/>
          <w:szCs w:val="28"/>
        </w:rPr>
        <w:t xml:space="preserve"> (GT Example)</w:t>
      </w:r>
    </w:p>
    <w:p w:rsidR="008056B7" w:rsidRPr="008056B7" w:rsidRDefault="008056B7" w:rsidP="00F84990">
      <w:pPr>
        <w:spacing w:after="120" w:line="276" w:lineRule="auto"/>
        <w:rPr>
          <w:rFonts w:ascii="Arial" w:hAnsi="Arial" w:cs="Arial"/>
        </w:rPr>
      </w:pPr>
      <w:r w:rsidRPr="008056B7">
        <w:rPr>
          <w:rFonts w:ascii="Arial" w:hAnsi="Arial" w:cs="Arial"/>
        </w:rPr>
        <w:t>In a partnership with the Carter Center and Emo</w:t>
      </w:r>
      <w:r w:rsidR="004D320E">
        <w:rPr>
          <w:rFonts w:ascii="Arial" w:hAnsi="Arial" w:cs="Arial"/>
        </w:rPr>
        <w:t xml:space="preserve">ry University, Dr. Ellen Zegura, Professor and Fleming Chair in Telecommunications in the School of Computer Science at Georgia Tech, </w:t>
      </w:r>
      <w:r w:rsidRPr="008056B7">
        <w:rPr>
          <w:rFonts w:ascii="Arial" w:hAnsi="Arial" w:cs="Arial"/>
        </w:rPr>
        <w:t xml:space="preserve">developed </w:t>
      </w:r>
      <w:r w:rsidR="00C6119A" w:rsidRPr="00C6119A">
        <w:rPr>
          <w:rFonts w:ascii="Arial" w:hAnsi="Arial" w:cs="Arial"/>
        </w:rPr>
        <w:t>the Patient Encounter Form (PEF) software</w:t>
      </w:r>
      <w:r w:rsidR="004D1AF7">
        <w:rPr>
          <w:rFonts w:ascii="Arial" w:hAnsi="Arial" w:cs="Arial"/>
        </w:rPr>
        <w:t xml:space="preserve"> over a period of time from 2012-2015</w:t>
      </w:r>
      <w:r w:rsidR="00C6119A">
        <w:rPr>
          <w:rFonts w:ascii="Arial" w:hAnsi="Arial" w:cs="Arial"/>
        </w:rPr>
        <w:t xml:space="preserve">. Mental health clinicians in </w:t>
      </w:r>
      <w:r w:rsidRPr="008056B7">
        <w:rPr>
          <w:rFonts w:ascii="Arial" w:hAnsi="Arial" w:cs="Arial"/>
        </w:rPr>
        <w:t xml:space="preserve">Liberia use </w:t>
      </w:r>
      <w:r w:rsidR="00C6119A">
        <w:rPr>
          <w:rFonts w:ascii="Arial" w:hAnsi="Arial" w:cs="Arial"/>
        </w:rPr>
        <w:t xml:space="preserve">this software to record data from patient visits. </w:t>
      </w:r>
      <w:r w:rsidR="00987FFB">
        <w:rPr>
          <w:rFonts w:ascii="Arial" w:hAnsi="Arial" w:cs="Arial"/>
        </w:rPr>
        <w:t xml:space="preserve">The goal of the project is to </w:t>
      </w:r>
      <w:r w:rsidR="0098556D">
        <w:rPr>
          <w:rFonts w:ascii="Arial" w:hAnsi="Arial" w:cs="Arial"/>
        </w:rPr>
        <w:t xml:space="preserve">create and </w:t>
      </w:r>
      <w:r w:rsidR="00987FFB">
        <w:rPr>
          <w:rFonts w:ascii="Arial" w:hAnsi="Arial" w:cs="Arial"/>
        </w:rPr>
        <w:t xml:space="preserve">sustain a data gathering practice for mental health providers. </w:t>
      </w:r>
    </w:p>
    <w:p w:rsidR="008056B7" w:rsidRPr="008056B7" w:rsidRDefault="00987FFB" w:rsidP="00F84990">
      <w:pPr>
        <w:spacing w:after="120" w:line="276" w:lineRule="auto"/>
        <w:rPr>
          <w:rFonts w:ascii="Arial" w:hAnsi="Arial" w:cs="Arial"/>
        </w:rPr>
      </w:pPr>
      <w:r>
        <w:rPr>
          <w:rFonts w:ascii="Arial" w:hAnsi="Arial" w:cs="Arial"/>
        </w:rPr>
        <w:t xml:space="preserve">Because the partners were working in Liberia, </w:t>
      </w:r>
      <w:r w:rsidR="008056B7" w:rsidRPr="008056B7">
        <w:rPr>
          <w:rFonts w:ascii="Arial" w:hAnsi="Arial" w:cs="Arial"/>
        </w:rPr>
        <w:t xml:space="preserve">understanding </w:t>
      </w:r>
      <w:r>
        <w:rPr>
          <w:rFonts w:ascii="Arial" w:hAnsi="Arial" w:cs="Arial"/>
        </w:rPr>
        <w:t xml:space="preserve">the </w:t>
      </w:r>
      <w:r w:rsidR="008056B7" w:rsidRPr="008056B7">
        <w:rPr>
          <w:rFonts w:ascii="Arial" w:hAnsi="Arial" w:cs="Arial"/>
        </w:rPr>
        <w:t>context of the country</w:t>
      </w:r>
      <w:r>
        <w:rPr>
          <w:rFonts w:ascii="Arial" w:hAnsi="Arial" w:cs="Arial"/>
        </w:rPr>
        <w:t xml:space="preserve"> was essential to success. The partners encountered various obstacles to implementing their software, including:</w:t>
      </w:r>
      <w:r w:rsidR="008056B7" w:rsidRPr="008056B7">
        <w:rPr>
          <w:rFonts w:ascii="Arial" w:hAnsi="Arial" w:cs="Arial"/>
        </w:rPr>
        <w:t xml:space="preserve"> unreliable power, limited internet access, widespread computer viruses, issues of clinician workload, a</w:t>
      </w:r>
      <w:r>
        <w:rPr>
          <w:rFonts w:ascii="Arial" w:hAnsi="Arial" w:cs="Arial"/>
        </w:rPr>
        <w:t>nd mental health providers’ limited</w:t>
      </w:r>
      <w:r w:rsidR="008056B7" w:rsidRPr="008056B7">
        <w:rPr>
          <w:rFonts w:ascii="Arial" w:hAnsi="Arial" w:cs="Arial"/>
        </w:rPr>
        <w:t xml:space="preserve"> prior experience with computing. </w:t>
      </w:r>
      <w:r>
        <w:rPr>
          <w:rFonts w:ascii="Arial" w:hAnsi="Arial" w:cs="Arial"/>
        </w:rPr>
        <w:t xml:space="preserve">The partners knew some of these issues </w:t>
      </w:r>
      <w:r w:rsidR="008056B7" w:rsidRPr="008056B7">
        <w:rPr>
          <w:rFonts w:ascii="Arial" w:hAnsi="Arial" w:cs="Arial"/>
        </w:rPr>
        <w:t>prior to development of the project,</w:t>
      </w:r>
      <w:r>
        <w:rPr>
          <w:rFonts w:ascii="Arial" w:hAnsi="Arial" w:cs="Arial"/>
        </w:rPr>
        <w:t xml:space="preserve"> while other issues became evident </w:t>
      </w:r>
      <w:r w:rsidR="008056B7" w:rsidRPr="008056B7">
        <w:rPr>
          <w:rFonts w:ascii="Arial" w:hAnsi="Arial" w:cs="Arial"/>
        </w:rPr>
        <w:t>throughout the project’s progression.</w:t>
      </w:r>
    </w:p>
    <w:p w:rsidR="008056B7" w:rsidRPr="008056B7" w:rsidRDefault="0020309A" w:rsidP="00F84990">
      <w:pPr>
        <w:spacing w:after="120" w:line="276" w:lineRule="auto"/>
        <w:rPr>
          <w:rFonts w:ascii="Arial" w:hAnsi="Arial" w:cs="Arial"/>
        </w:rPr>
      </w:pPr>
      <w:r w:rsidRPr="0020309A">
        <w:rPr>
          <w:noProof/>
        </w:rPr>
        <w:pict>
          <v:shape id="_x0000_s1040" type="#_x0000_t202" style="position:absolute;margin-left:287.25pt;margin-top:149.15pt;width:221.8pt;height:15.25pt;z-index:251683840;mso-position-horizontal:absolute;mso-position-vertical:absolute" filled="f" stroked="f">
            <v:fill o:detectmouseclick="t"/>
            <v:textbox inset="0,0,0,0">
              <w:txbxContent>
                <w:p w:rsidR="001E1E61" w:rsidRPr="001F070E" w:rsidRDefault="001E1E61" w:rsidP="001F070E">
                  <w:pPr>
                    <w:pStyle w:val="Caption"/>
                    <w:rPr>
                      <w:rFonts w:ascii="Arial" w:hAnsi="Arial"/>
                      <w:b w:val="0"/>
                      <w:color w:val="auto"/>
                    </w:rPr>
                  </w:pPr>
                  <w:r w:rsidRPr="001F070E">
                    <w:rPr>
                      <w:rFonts w:ascii="Arial" w:hAnsi="Arial"/>
                      <w:b w:val="0"/>
                      <w:color w:val="auto"/>
                    </w:rPr>
                    <w:t xml:space="preserve">Figure </w:t>
                  </w:r>
                  <w:r w:rsidR="0020309A" w:rsidRPr="001F070E">
                    <w:rPr>
                      <w:rFonts w:ascii="Arial" w:hAnsi="Arial"/>
                      <w:b w:val="0"/>
                      <w:color w:val="auto"/>
                    </w:rPr>
                    <w:fldChar w:fldCharType="begin"/>
                  </w:r>
                  <w:r w:rsidRPr="001F070E">
                    <w:rPr>
                      <w:rFonts w:ascii="Arial" w:hAnsi="Arial"/>
                      <w:b w:val="0"/>
                      <w:color w:val="auto"/>
                    </w:rPr>
                    <w:instrText xml:space="preserve"> SEQ Figure \* ARABIC </w:instrText>
                  </w:r>
                  <w:r w:rsidR="0020309A" w:rsidRPr="001F070E">
                    <w:rPr>
                      <w:rFonts w:ascii="Arial" w:hAnsi="Arial"/>
                      <w:b w:val="0"/>
                      <w:color w:val="auto"/>
                    </w:rPr>
                    <w:fldChar w:fldCharType="separate"/>
                  </w:r>
                  <w:r>
                    <w:rPr>
                      <w:rFonts w:ascii="Arial" w:hAnsi="Arial"/>
                      <w:b w:val="0"/>
                      <w:noProof/>
                      <w:color w:val="auto"/>
                    </w:rPr>
                    <w:t>9</w:t>
                  </w:r>
                  <w:r w:rsidR="0020309A" w:rsidRPr="001F070E">
                    <w:rPr>
                      <w:rFonts w:ascii="Arial" w:hAnsi="Arial"/>
                      <w:b w:val="0"/>
                      <w:color w:val="auto"/>
                    </w:rPr>
                    <w:fldChar w:fldCharType="end"/>
                  </w:r>
                  <w:r w:rsidRPr="001F070E">
                    <w:rPr>
                      <w:rFonts w:ascii="Arial" w:hAnsi="Arial"/>
                      <w:b w:val="0"/>
                      <w:color w:val="auto"/>
                    </w:rPr>
                    <w:t>, Dr. Ellen Zegura in Libera, cartercenter.org</w:t>
                  </w:r>
                </w:p>
              </w:txbxContent>
            </v:textbox>
            <w10:wrap type="square"/>
          </v:shape>
        </w:pict>
      </w:r>
      <w:r w:rsidR="0081320A">
        <w:rPr>
          <w:noProof/>
        </w:rPr>
        <w:drawing>
          <wp:anchor distT="0" distB="0" distL="114300" distR="114300" simplePos="0" relativeHeight="251681792" behindDoc="0" locked="0" layoutInCell="1" allowOverlap="1">
            <wp:simplePos x="0" y="0"/>
            <wp:positionH relativeFrom="column">
              <wp:posOffset>3657600</wp:posOffset>
            </wp:positionH>
            <wp:positionV relativeFrom="paragraph">
              <wp:posOffset>55880</wp:posOffset>
            </wp:positionV>
            <wp:extent cx="2359660" cy="1829435"/>
            <wp:effectExtent l="25400" t="0" r="2540" b="0"/>
            <wp:wrapSquare wrapText="bothSides"/>
            <wp:docPr id="29" name="Picture 10" descr="Macintosh HD:Users:mollyslavin:Desktop:liberia-ellen-zegura-mh-training-clas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mollyslavin:Desktop:liberia-ellen-zegura-mh-training-class1.jpg"/>
                    <pic:cNvPicPr>
                      <a:picLocks noChangeAspect="1" noChangeArrowheads="1"/>
                    </pic:cNvPicPr>
                  </pic:nvPicPr>
                  <pic:blipFill>
                    <a:blip r:embed="rId36"/>
                    <a:srcRect/>
                    <a:stretch>
                      <a:fillRect/>
                    </a:stretch>
                  </pic:blipFill>
                  <pic:spPr bwMode="auto">
                    <a:xfrm>
                      <a:off x="0" y="0"/>
                      <a:ext cx="2359660" cy="1829435"/>
                    </a:xfrm>
                    <a:prstGeom prst="rect">
                      <a:avLst/>
                    </a:prstGeom>
                    <a:noFill/>
                    <a:ln w="9525">
                      <a:noFill/>
                      <a:miter lim="800000"/>
                      <a:headEnd/>
                      <a:tailEnd/>
                    </a:ln>
                  </pic:spPr>
                </pic:pic>
              </a:graphicData>
            </a:graphic>
          </wp:anchor>
        </w:drawing>
      </w:r>
      <w:r w:rsidR="00987FFB">
        <w:rPr>
          <w:rFonts w:ascii="Arial" w:hAnsi="Arial" w:cs="Arial"/>
        </w:rPr>
        <w:t xml:space="preserve">For example, </w:t>
      </w:r>
      <w:r w:rsidR="008056B7" w:rsidRPr="008056B7">
        <w:rPr>
          <w:rFonts w:ascii="Arial" w:hAnsi="Arial" w:cs="Arial"/>
        </w:rPr>
        <w:t>many</w:t>
      </w:r>
      <w:r w:rsidR="001257E5">
        <w:rPr>
          <w:rFonts w:ascii="Arial" w:hAnsi="Arial" w:cs="Arial"/>
        </w:rPr>
        <w:t xml:space="preserve"> Liberian</w:t>
      </w:r>
      <w:r w:rsidR="008056B7" w:rsidRPr="008056B7">
        <w:rPr>
          <w:rFonts w:ascii="Arial" w:hAnsi="Arial" w:cs="Arial"/>
        </w:rPr>
        <w:t xml:space="preserve"> clinicians did not enjoy </w:t>
      </w:r>
      <w:r w:rsidR="00987FFB">
        <w:rPr>
          <w:rFonts w:ascii="Arial" w:hAnsi="Arial" w:cs="Arial"/>
        </w:rPr>
        <w:t xml:space="preserve">using </w:t>
      </w:r>
      <w:r w:rsidR="008056B7" w:rsidRPr="008056B7">
        <w:rPr>
          <w:rFonts w:ascii="Arial" w:hAnsi="Arial" w:cs="Arial"/>
        </w:rPr>
        <w:t>computers</w:t>
      </w:r>
      <w:r w:rsidR="00987FFB">
        <w:rPr>
          <w:rFonts w:ascii="Arial" w:hAnsi="Arial" w:cs="Arial"/>
        </w:rPr>
        <w:t xml:space="preserve"> to record information. They distrusted the reliability of technology, and for good reason: in order for clinicians to upload patient data using PEF software, they needed a number of factors to work in their favor: the clinic itself needed to have working power, internet connectivity had to be reliable, and the laptops clinicians used needed to be free of viruses. For these reasons, c</w:t>
      </w:r>
      <w:r w:rsidR="00987FFB" w:rsidRPr="008056B7">
        <w:rPr>
          <w:rFonts w:ascii="Arial" w:hAnsi="Arial" w:cs="Arial"/>
        </w:rPr>
        <w:t xml:space="preserve">linicians felt more confident </w:t>
      </w:r>
      <w:r w:rsidR="00987FFB">
        <w:rPr>
          <w:rFonts w:ascii="Arial" w:hAnsi="Arial" w:cs="Arial"/>
        </w:rPr>
        <w:t xml:space="preserve">if they had </w:t>
      </w:r>
      <w:r w:rsidR="00987FFB" w:rsidRPr="008056B7">
        <w:rPr>
          <w:rFonts w:ascii="Arial" w:hAnsi="Arial" w:cs="Arial"/>
        </w:rPr>
        <w:t xml:space="preserve">a paper trail in addition to the digital file. </w:t>
      </w:r>
      <w:r w:rsidR="00987FFB">
        <w:rPr>
          <w:rFonts w:ascii="Arial" w:hAnsi="Arial" w:cs="Arial"/>
        </w:rPr>
        <w:t xml:space="preserve">The project partners responded by giving clinicians </w:t>
      </w:r>
      <w:r w:rsidR="008056B7" w:rsidRPr="008056B7">
        <w:rPr>
          <w:rFonts w:ascii="Arial" w:hAnsi="Arial" w:cs="Arial"/>
        </w:rPr>
        <w:t xml:space="preserve">a writing pad with a “cheat sheet” structured to augment the computer-based process. </w:t>
      </w:r>
    </w:p>
    <w:p w:rsidR="008056B7" w:rsidRPr="008056B7" w:rsidRDefault="008056B7" w:rsidP="00F84990">
      <w:pPr>
        <w:spacing w:after="120" w:line="276" w:lineRule="auto"/>
        <w:rPr>
          <w:rFonts w:ascii="Arial" w:hAnsi="Arial" w:cs="Arial"/>
        </w:rPr>
      </w:pPr>
      <w:r w:rsidRPr="008056B7">
        <w:rPr>
          <w:rFonts w:ascii="Arial" w:hAnsi="Arial" w:cs="Arial"/>
        </w:rPr>
        <w:t>The development of this computer-based tool was iterative</w:t>
      </w:r>
      <w:r w:rsidR="00323FD4">
        <w:rPr>
          <w:rFonts w:ascii="Arial" w:hAnsi="Arial" w:cs="Arial"/>
        </w:rPr>
        <w:t xml:space="preserve"> and customizable</w:t>
      </w:r>
      <w:r w:rsidRPr="008056B7">
        <w:rPr>
          <w:rFonts w:ascii="Arial" w:hAnsi="Arial" w:cs="Arial"/>
        </w:rPr>
        <w:t>, so the partners were able to adjust</w:t>
      </w:r>
      <w:r w:rsidR="00987FFB">
        <w:rPr>
          <w:rFonts w:ascii="Arial" w:hAnsi="Arial" w:cs="Arial"/>
        </w:rPr>
        <w:t xml:space="preserve"> their process to the local </w:t>
      </w:r>
      <w:r w:rsidRPr="008056B7">
        <w:rPr>
          <w:rFonts w:ascii="Arial" w:hAnsi="Arial" w:cs="Arial"/>
        </w:rPr>
        <w:t xml:space="preserve">needs of clinicians. This required surveys and interviews with the mental health </w:t>
      </w:r>
      <w:r w:rsidR="00987FFB">
        <w:rPr>
          <w:rFonts w:ascii="Arial" w:hAnsi="Arial" w:cs="Arial"/>
        </w:rPr>
        <w:t xml:space="preserve">providers </w:t>
      </w:r>
      <w:r w:rsidRPr="008056B7">
        <w:rPr>
          <w:rFonts w:ascii="Arial" w:hAnsi="Arial" w:cs="Arial"/>
        </w:rPr>
        <w:t>to continue to adjust to their needs and the societal context</w:t>
      </w:r>
      <w:r w:rsidR="00471065">
        <w:rPr>
          <w:rFonts w:ascii="Arial" w:hAnsi="Arial" w:cs="Arial"/>
        </w:rPr>
        <w:t xml:space="preserve">, which resulted in a more successful process. </w:t>
      </w:r>
      <w:r w:rsidRPr="008056B7">
        <w:rPr>
          <w:rFonts w:ascii="Arial" w:hAnsi="Arial" w:cs="Arial"/>
        </w:rPr>
        <w:t xml:space="preserve">This case study has been written about </w:t>
      </w:r>
      <w:r w:rsidR="00323FD4">
        <w:rPr>
          <w:rFonts w:ascii="Arial" w:hAnsi="Arial" w:cs="Arial"/>
        </w:rPr>
        <w:t xml:space="preserve">in more depth </w:t>
      </w:r>
      <w:r w:rsidRPr="008056B7">
        <w:rPr>
          <w:rFonts w:ascii="Arial" w:hAnsi="Arial" w:cs="Arial"/>
        </w:rPr>
        <w:t xml:space="preserve">by the three partners in the development project. </w:t>
      </w:r>
      <w:r w:rsidR="00323FD4">
        <w:rPr>
          <w:rFonts w:ascii="Arial" w:hAnsi="Arial" w:cs="Arial"/>
        </w:rPr>
        <w:t>Read it</w:t>
      </w:r>
      <w:r w:rsidRPr="008056B7">
        <w:rPr>
          <w:rFonts w:ascii="Arial" w:hAnsi="Arial" w:cs="Arial"/>
        </w:rPr>
        <w:t xml:space="preserve"> </w:t>
      </w:r>
      <w:hyperlink r:id="rId37" w:history="1">
        <w:r w:rsidRPr="008056B7">
          <w:rPr>
            <w:rStyle w:val="Hyperlink"/>
            <w:rFonts w:ascii="Arial" w:hAnsi="Arial" w:cs="Arial"/>
          </w:rPr>
          <w:t>here</w:t>
        </w:r>
      </w:hyperlink>
      <w:r w:rsidRPr="008056B7">
        <w:rPr>
          <w:rFonts w:ascii="Arial" w:hAnsi="Arial" w:cs="Arial"/>
        </w:rPr>
        <w:t xml:space="preserve">. </w:t>
      </w:r>
    </w:p>
    <w:p w:rsidR="00E37202" w:rsidRPr="00E37202" w:rsidRDefault="00E37202" w:rsidP="00E37202">
      <w:pPr>
        <w:spacing w:after="120" w:line="276" w:lineRule="auto"/>
        <w:ind w:left="720" w:hanging="720"/>
        <w:rPr>
          <w:rFonts w:ascii="Arial" w:hAnsi="Arial" w:cs="Arial"/>
          <w:b/>
        </w:rPr>
      </w:pPr>
      <w:r w:rsidRPr="00E37202">
        <w:rPr>
          <w:rFonts w:ascii="Arial" w:hAnsi="Arial" w:cs="Arial"/>
          <w:b/>
        </w:rPr>
        <w:t>Works Cited</w:t>
      </w:r>
    </w:p>
    <w:p w:rsidR="008056B7" w:rsidRPr="008056B7" w:rsidRDefault="008056B7" w:rsidP="00E37202">
      <w:pPr>
        <w:spacing w:after="120" w:line="276" w:lineRule="auto"/>
        <w:ind w:left="720" w:hanging="720"/>
        <w:rPr>
          <w:rFonts w:ascii="Arial" w:hAnsi="Arial" w:cs="Arial"/>
        </w:rPr>
      </w:pPr>
      <w:r w:rsidRPr="008056B7">
        <w:rPr>
          <w:rFonts w:ascii="Arial" w:hAnsi="Arial" w:cs="Arial"/>
        </w:rPr>
        <w:t xml:space="preserve">Dr. Ellen Zegura (personal interview) </w:t>
      </w:r>
      <w:r w:rsidR="00212785">
        <w:rPr>
          <w:rFonts w:ascii="Arial" w:hAnsi="Arial" w:cs="Arial"/>
        </w:rPr>
        <w:t>(Professor and Fleming Chair in Telecommunications, School of Computer Science, Georgia Institute of Technology)</w:t>
      </w:r>
    </w:p>
    <w:p w:rsidR="008056B7" w:rsidRPr="006271DC" w:rsidRDefault="008056B7" w:rsidP="00F84990">
      <w:pPr>
        <w:pStyle w:val="Heading2"/>
        <w:spacing w:before="240" w:after="240" w:line="276" w:lineRule="auto"/>
        <w:rPr>
          <w:rFonts w:ascii="Georgia" w:hAnsi="Georgia"/>
          <w:b/>
          <w:color w:val="auto"/>
          <w:sz w:val="28"/>
          <w:szCs w:val="28"/>
        </w:rPr>
      </w:pPr>
      <w:r w:rsidRPr="006271DC">
        <w:rPr>
          <w:rFonts w:ascii="Georgia" w:hAnsi="Georgia"/>
          <w:b/>
          <w:color w:val="auto"/>
          <w:sz w:val="28"/>
          <w:szCs w:val="28"/>
        </w:rPr>
        <w:t>Understanding the Importance of Social Cohesion</w:t>
      </w:r>
      <w:r w:rsidR="001257E5">
        <w:rPr>
          <w:rFonts w:ascii="Georgia" w:hAnsi="Georgia"/>
          <w:b/>
          <w:color w:val="auto"/>
          <w:sz w:val="28"/>
          <w:szCs w:val="28"/>
        </w:rPr>
        <w:t>: The 1995 Chicago Heat Wave</w:t>
      </w:r>
    </w:p>
    <w:p w:rsidR="008056B7" w:rsidRPr="008056B7" w:rsidRDefault="0020309A" w:rsidP="00F84990">
      <w:pPr>
        <w:spacing w:after="120" w:line="276" w:lineRule="auto"/>
        <w:rPr>
          <w:rFonts w:ascii="Arial" w:hAnsi="Arial" w:cs="Arial"/>
        </w:rPr>
      </w:pPr>
      <w:r w:rsidRPr="0020309A">
        <w:rPr>
          <w:noProof/>
        </w:rPr>
        <w:pict>
          <v:shape id="_x0000_s1041" type="#_x0000_t202" style="position:absolute;margin-left:0;margin-top:290.65pt;width:199pt;height:31.5pt;z-index:251686912" filled="f" stroked="f">
            <v:fill o:detectmouseclick="t"/>
            <v:textbox style="mso-fit-shape-to-text:t" inset="0,0,0,0">
              <w:txbxContent>
                <w:p w:rsidR="001E1E61" w:rsidRPr="000D521F" w:rsidRDefault="001E1E61" w:rsidP="000D521F">
                  <w:pPr>
                    <w:pStyle w:val="Caption"/>
                    <w:rPr>
                      <w:rFonts w:ascii="Arial" w:hAnsi="Arial"/>
                      <w:b w:val="0"/>
                      <w:color w:val="auto"/>
                    </w:rPr>
                  </w:pPr>
                  <w:r w:rsidRPr="000D521F">
                    <w:rPr>
                      <w:rFonts w:ascii="Arial" w:hAnsi="Arial"/>
                      <w:b w:val="0"/>
                      <w:color w:val="auto"/>
                    </w:rPr>
                    <w:t xml:space="preserve">Figure </w:t>
                  </w:r>
                  <w:r w:rsidR="0020309A" w:rsidRPr="000D521F">
                    <w:rPr>
                      <w:rFonts w:ascii="Arial" w:hAnsi="Arial"/>
                      <w:b w:val="0"/>
                      <w:color w:val="auto"/>
                    </w:rPr>
                    <w:fldChar w:fldCharType="begin"/>
                  </w:r>
                  <w:r w:rsidRPr="000D521F">
                    <w:rPr>
                      <w:rFonts w:ascii="Arial" w:hAnsi="Arial"/>
                      <w:b w:val="0"/>
                      <w:color w:val="auto"/>
                    </w:rPr>
                    <w:instrText xml:space="preserve"> SEQ Figure \* ARABIC </w:instrText>
                  </w:r>
                  <w:r w:rsidR="0020309A" w:rsidRPr="000D521F">
                    <w:rPr>
                      <w:rFonts w:ascii="Arial" w:hAnsi="Arial"/>
                      <w:b w:val="0"/>
                      <w:color w:val="auto"/>
                    </w:rPr>
                    <w:fldChar w:fldCharType="separate"/>
                  </w:r>
                  <w:r>
                    <w:rPr>
                      <w:rFonts w:ascii="Arial" w:hAnsi="Arial"/>
                      <w:b w:val="0"/>
                      <w:noProof/>
                      <w:color w:val="auto"/>
                    </w:rPr>
                    <w:t>10</w:t>
                  </w:r>
                  <w:r w:rsidR="0020309A" w:rsidRPr="000D521F">
                    <w:rPr>
                      <w:rFonts w:ascii="Arial" w:hAnsi="Arial"/>
                      <w:b w:val="0"/>
                      <w:color w:val="auto"/>
                    </w:rPr>
                    <w:fldChar w:fldCharType="end"/>
                  </w:r>
                  <w:r w:rsidRPr="000D521F">
                    <w:rPr>
                      <w:rFonts w:ascii="Arial" w:hAnsi="Arial"/>
                      <w:b w:val="0"/>
                      <w:color w:val="auto"/>
                    </w:rPr>
                    <w:t>, Newspaper From 1995, chicago.suntimes.com</w:t>
                  </w:r>
                </w:p>
              </w:txbxContent>
            </v:textbox>
            <w10:wrap type="square"/>
          </v:shape>
        </w:pict>
      </w:r>
      <w:r w:rsidR="000D521F">
        <w:rPr>
          <w:rFonts w:ascii="Arial" w:hAnsi="Arial" w:cs="Arial"/>
          <w:noProof/>
        </w:rPr>
        <w:drawing>
          <wp:anchor distT="0" distB="0" distL="114300" distR="114300" simplePos="0" relativeHeight="251684864" behindDoc="0" locked="0" layoutInCell="1" allowOverlap="1">
            <wp:simplePos x="0" y="0"/>
            <wp:positionH relativeFrom="column">
              <wp:posOffset>0</wp:posOffset>
            </wp:positionH>
            <wp:positionV relativeFrom="paragraph">
              <wp:posOffset>408305</wp:posOffset>
            </wp:positionV>
            <wp:extent cx="2527300" cy="3225800"/>
            <wp:effectExtent l="25400" t="0" r="0" b="0"/>
            <wp:wrapSquare wrapText="bothSides"/>
            <wp:docPr id="31" name="Picture 11" descr="Macintosh HD:Users:mollyslavin:Desktop:199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Users:mollyslavin:Desktop:1995.jpeg"/>
                    <pic:cNvPicPr>
                      <a:picLocks noChangeAspect="1" noChangeArrowheads="1"/>
                    </pic:cNvPicPr>
                  </pic:nvPicPr>
                  <pic:blipFill>
                    <a:blip r:embed="rId38"/>
                    <a:srcRect/>
                    <a:stretch>
                      <a:fillRect/>
                    </a:stretch>
                  </pic:blipFill>
                  <pic:spPr bwMode="auto">
                    <a:xfrm>
                      <a:off x="0" y="0"/>
                      <a:ext cx="2527300" cy="3225800"/>
                    </a:xfrm>
                    <a:prstGeom prst="rect">
                      <a:avLst/>
                    </a:prstGeom>
                    <a:noFill/>
                    <a:ln w="9525">
                      <a:noFill/>
                      <a:miter lim="800000"/>
                      <a:headEnd/>
                      <a:tailEnd/>
                    </a:ln>
                  </pic:spPr>
                </pic:pic>
              </a:graphicData>
            </a:graphic>
          </wp:anchor>
        </w:drawing>
      </w:r>
      <w:r w:rsidR="00471065">
        <w:rPr>
          <w:rFonts w:ascii="Arial" w:hAnsi="Arial" w:cs="Arial"/>
        </w:rPr>
        <w:t xml:space="preserve">In 1995, Chicago suffered through a </w:t>
      </w:r>
      <w:r w:rsidR="008056B7" w:rsidRPr="008056B7">
        <w:rPr>
          <w:rFonts w:ascii="Arial" w:hAnsi="Arial" w:cs="Arial"/>
        </w:rPr>
        <w:t>catastrophic heat wave</w:t>
      </w:r>
      <w:r w:rsidR="00471065">
        <w:rPr>
          <w:rFonts w:ascii="Arial" w:hAnsi="Arial" w:cs="Arial"/>
        </w:rPr>
        <w:t xml:space="preserve">. </w:t>
      </w:r>
      <w:r w:rsidR="00083269">
        <w:rPr>
          <w:rFonts w:ascii="Arial" w:hAnsi="Arial" w:cs="Arial"/>
        </w:rPr>
        <w:t>The unexpectedly lethal natural disaster</w:t>
      </w:r>
      <w:r w:rsidR="008056B7" w:rsidRPr="008056B7">
        <w:rPr>
          <w:rFonts w:ascii="Arial" w:hAnsi="Arial" w:cs="Arial"/>
        </w:rPr>
        <w:t xml:space="preserve"> caused massive power outages</w:t>
      </w:r>
      <w:r w:rsidR="00471065">
        <w:rPr>
          <w:rFonts w:ascii="Arial" w:hAnsi="Arial" w:cs="Arial"/>
        </w:rPr>
        <w:t xml:space="preserve">, leading </w:t>
      </w:r>
      <w:r w:rsidR="00083269">
        <w:rPr>
          <w:rFonts w:ascii="Arial" w:hAnsi="Arial" w:cs="Arial"/>
        </w:rPr>
        <w:t>to the deaths of 739 people</w:t>
      </w:r>
      <w:r w:rsidR="008056B7" w:rsidRPr="008056B7">
        <w:rPr>
          <w:rFonts w:ascii="Arial" w:hAnsi="Arial" w:cs="Arial"/>
        </w:rPr>
        <w:t xml:space="preserve">. </w:t>
      </w:r>
      <w:r w:rsidR="00083269">
        <w:rPr>
          <w:rFonts w:ascii="Arial" w:hAnsi="Arial" w:cs="Arial"/>
        </w:rPr>
        <w:t>In the years since, researchers have</w:t>
      </w:r>
      <w:r w:rsidR="008056B7" w:rsidRPr="008056B7">
        <w:rPr>
          <w:rFonts w:ascii="Arial" w:hAnsi="Arial" w:cs="Arial"/>
        </w:rPr>
        <w:t xml:space="preserve"> “failed to detect relationships between the weather and mortality that would explain what happened” (Klinenberg 2016).</w:t>
      </w:r>
    </w:p>
    <w:p w:rsidR="008056B7" w:rsidRPr="008056B7" w:rsidRDefault="008056B7" w:rsidP="00F84990">
      <w:pPr>
        <w:spacing w:after="120" w:line="276" w:lineRule="auto"/>
        <w:rPr>
          <w:rFonts w:ascii="Arial" w:hAnsi="Arial" w:cs="Arial"/>
        </w:rPr>
      </w:pPr>
      <w:r w:rsidRPr="008056B7">
        <w:rPr>
          <w:rFonts w:ascii="Arial" w:hAnsi="Arial" w:cs="Arial"/>
        </w:rPr>
        <w:t xml:space="preserve">Many of the neighborhoods </w:t>
      </w:r>
      <w:r w:rsidR="00E6386A">
        <w:rPr>
          <w:rFonts w:ascii="Arial" w:hAnsi="Arial" w:cs="Arial"/>
        </w:rPr>
        <w:t>that</w:t>
      </w:r>
      <w:r w:rsidRPr="008056B7">
        <w:rPr>
          <w:rFonts w:ascii="Arial" w:hAnsi="Arial" w:cs="Arial"/>
        </w:rPr>
        <w:t xml:space="preserve"> fared the worst (highest rates of death) during the disaster were entirely black and disproportionately poor, yet a few of the neighborhoods with similar demographics had the lowest death rates across the city. Why the discrepancy? </w:t>
      </w:r>
      <w:r w:rsidR="00E37202">
        <w:rPr>
          <w:rFonts w:ascii="Arial" w:hAnsi="Arial" w:cs="Arial"/>
        </w:rPr>
        <w:t>S</w:t>
      </w:r>
      <w:r w:rsidRPr="008056B7">
        <w:rPr>
          <w:rFonts w:ascii="Arial" w:hAnsi="Arial" w:cs="Arial"/>
        </w:rPr>
        <w:t xml:space="preserve">ociologist </w:t>
      </w:r>
      <w:r w:rsidR="00E37202">
        <w:rPr>
          <w:rFonts w:ascii="Arial" w:hAnsi="Arial" w:cs="Arial"/>
        </w:rPr>
        <w:t xml:space="preserve">Eric </w:t>
      </w:r>
      <w:r w:rsidR="00E37202" w:rsidRPr="004A5EEB">
        <w:rPr>
          <w:rFonts w:ascii="Arial" w:hAnsi="Arial" w:cs="Arial"/>
        </w:rPr>
        <w:t>Klinenberg</w:t>
      </w:r>
      <w:r w:rsidR="00E37202" w:rsidRPr="008056B7">
        <w:rPr>
          <w:rFonts w:ascii="Arial" w:hAnsi="Arial" w:cs="Arial"/>
        </w:rPr>
        <w:t xml:space="preserve"> </w:t>
      </w:r>
      <w:r w:rsidRPr="008056B7">
        <w:rPr>
          <w:rFonts w:ascii="Arial" w:hAnsi="Arial" w:cs="Arial"/>
        </w:rPr>
        <w:t xml:space="preserve">studied the heat wave to understand the differences in death tolls, comparing neighborhoods of similar demography to analyze why some neighborhoods had high survival rates and others did not. </w:t>
      </w:r>
    </w:p>
    <w:p w:rsidR="008056B7" w:rsidRPr="008056B7" w:rsidRDefault="008056B7" w:rsidP="00F84990">
      <w:pPr>
        <w:spacing w:after="120" w:line="276" w:lineRule="auto"/>
        <w:rPr>
          <w:rFonts w:ascii="Arial" w:hAnsi="Arial" w:cs="Arial"/>
        </w:rPr>
      </w:pPr>
      <w:r w:rsidRPr="008056B7">
        <w:rPr>
          <w:rFonts w:ascii="Arial" w:hAnsi="Arial" w:cs="Arial"/>
        </w:rPr>
        <w:t>It turns out that social cohesion mattered the most in w</w:t>
      </w:r>
      <w:r w:rsidR="00E37202">
        <w:rPr>
          <w:rFonts w:ascii="Arial" w:hAnsi="Arial" w:cs="Arial"/>
        </w:rPr>
        <w:t>he</w:t>
      </w:r>
      <w:r w:rsidRPr="008056B7">
        <w:rPr>
          <w:rFonts w:ascii="Arial" w:hAnsi="Arial" w:cs="Arial"/>
        </w:rPr>
        <w:t>ther residents survived the heat wave. When comparing two neighborhoods with similar demographics (mostly black and poor re</w:t>
      </w:r>
      <w:r w:rsidR="00E6386A">
        <w:rPr>
          <w:rFonts w:ascii="Arial" w:hAnsi="Arial" w:cs="Arial"/>
        </w:rPr>
        <w:t>sidents), one neighborhood that</w:t>
      </w:r>
      <w:r w:rsidRPr="008056B7">
        <w:rPr>
          <w:rFonts w:ascii="Arial" w:hAnsi="Arial" w:cs="Arial"/>
        </w:rPr>
        <w:t xml:space="preserve"> had los</w:t>
      </w:r>
      <w:r w:rsidR="00083269">
        <w:rPr>
          <w:rFonts w:ascii="Arial" w:hAnsi="Arial" w:cs="Arial"/>
        </w:rPr>
        <w:t>t many of its shops,</w:t>
      </w:r>
      <w:r w:rsidRPr="008056B7">
        <w:rPr>
          <w:rFonts w:ascii="Arial" w:hAnsi="Arial" w:cs="Arial"/>
        </w:rPr>
        <w:t xml:space="preserve"> churches, community organizations, and social clubs had o</w:t>
      </w:r>
      <w:r w:rsidR="00083269">
        <w:rPr>
          <w:rFonts w:ascii="Arial" w:hAnsi="Arial" w:cs="Arial"/>
        </w:rPr>
        <w:t>ne of the highest death rates in</w:t>
      </w:r>
      <w:r w:rsidRPr="008056B7">
        <w:rPr>
          <w:rFonts w:ascii="Arial" w:hAnsi="Arial" w:cs="Arial"/>
        </w:rPr>
        <w:t xml:space="preserve"> the city. This area was often described as “bombed out” and “abandoned”</w:t>
      </w:r>
      <w:r w:rsidR="00083269">
        <w:rPr>
          <w:rFonts w:ascii="Arial" w:hAnsi="Arial" w:cs="Arial"/>
        </w:rPr>
        <w:t xml:space="preserve"> (Klinenberg 2016). However, a</w:t>
      </w:r>
      <w:r w:rsidR="00E6386A">
        <w:rPr>
          <w:rFonts w:ascii="Arial" w:hAnsi="Arial" w:cs="Arial"/>
        </w:rPr>
        <w:t xml:space="preserve"> neighboring community that</w:t>
      </w:r>
      <w:r w:rsidRPr="008056B7">
        <w:rPr>
          <w:rFonts w:ascii="Arial" w:hAnsi="Arial" w:cs="Arial"/>
        </w:rPr>
        <w:t xml:space="preserve"> had many of t</w:t>
      </w:r>
      <w:r w:rsidR="00083269">
        <w:rPr>
          <w:rFonts w:ascii="Arial" w:hAnsi="Arial" w:cs="Arial"/>
        </w:rPr>
        <w:t>hese social organizations, churches, and</w:t>
      </w:r>
      <w:r w:rsidRPr="008056B7">
        <w:rPr>
          <w:rFonts w:ascii="Arial" w:hAnsi="Arial" w:cs="Arial"/>
        </w:rPr>
        <w:t xml:space="preserve"> shops had the social cohesion that prevented many deaths. This community had one of the lowest death rates in the city (3 in</w:t>
      </w:r>
      <w:r w:rsidR="00083269">
        <w:rPr>
          <w:rFonts w:ascii="Arial" w:hAnsi="Arial" w:cs="Arial"/>
        </w:rPr>
        <w:t xml:space="preserve"> 100,000 residents): </w:t>
      </w:r>
      <w:r w:rsidRPr="008056B7">
        <w:rPr>
          <w:rFonts w:ascii="Arial" w:hAnsi="Arial" w:cs="Arial"/>
        </w:rPr>
        <w:t>lower than</w:t>
      </w:r>
      <w:r w:rsidR="00083269">
        <w:rPr>
          <w:rFonts w:ascii="Arial" w:hAnsi="Arial" w:cs="Arial"/>
        </w:rPr>
        <w:t xml:space="preserve"> even</w:t>
      </w:r>
      <w:r w:rsidRPr="008056B7">
        <w:rPr>
          <w:rFonts w:ascii="Arial" w:hAnsi="Arial" w:cs="Arial"/>
        </w:rPr>
        <w:t xml:space="preserve"> many white, wealthy neighborhoods in Chicago. </w:t>
      </w:r>
    </w:p>
    <w:p w:rsidR="00E37202" w:rsidRDefault="008056B7" w:rsidP="00F84990">
      <w:pPr>
        <w:spacing w:after="120" w:line="276" w:lineRule="auto"/>
        <w:rPr>
          <w:rFonts w:ascii="Arial" w:hAnsi="Arial" w:cs="Arial"/>
        </w:rPr>
      </w:pPr>
      <w:r w:rsidRPr="008056B7">
        <w:rPr>
          <w:rFonts w:ascii="Arial" w:hAnsi="Arial" w:cs="Arial"/>
        </w:rPr>
        <w:t xml:space="preserve">The sociologist found that the social cohesion had held together the neighborhood with the lowest death rate. People were checking on their neighbors, friends, and family. People were sitting in the street instead of taking shelter in their brick apartments which, without power, had become like ovens. </w:t>
      </w:r>
    </w:p>
    <w:p w:rsidR="00E37202" w:rsidRDefault="008056B7" w:rsidP="00F84990">
      <w:pPr>
        <w:spacing w:after="120" w:line="276" w:lineRule="auto"/>
        <w:rPr>
          <w:rFonts w:ascii="Arial" w:hAnsi="Arial" w:cs="Arial"/>
        </w:rPr>
      </w:pPr>
      <w:r w:rsidRPr="008056B7">
        <w:rPr>
          <w:rFonts w:ascii="Arial" w:hAnsi="Arial" w:cs="Arial"/>
        </w:rPr>
        <w:t>Understanding the importance of social cohesion in natural catastrophes can help government</w:t>
      </w:r>
      <w:r w:rsidR="00E37202">
        <w:rPr>
          <w:rFonts w:ascii="Arial" w:hAnsi="Arial" w:cs="Arial"/>
        </w:rPr>
        <w:t>s</w:t>
      </w:r>
      <w:r w:rsidRPr="008056B7">
        <w:rPr>
          <w:rFonts w:ascii="Arial" w:hAnsi="Arial" w:cs="Arial"/>
        </w:rPr>
        <w:t xml:space="preserve"> plan for natural disasters</w:t>
      </w:r>
      <w:r w:rsidR="00E37202">
        <w:rPr>
          <w:rFonts w:ascii="Arial" w:hAnsi="Arial" w:cs="Arial"/>
        </w:rPr>
        <w:t>,</w:t>
      </w:r>
      <w:r w:rsidRPr="008056B7">
        <w:rPr>
          <w:rFonts w:ascii="Arial" w:hAnsi="Arial" w:cs="Arial"/>
        </w:rPr>
        <w:t xml:space="preserve"> which are becoming more dangerous with </w:t>
      </w:r>
      <w:r w:rsidR="00E37202">
        <w:rPr>
          <w:rFonts w:ascii="Arial" w:hAnsi="Arial" w:cs="Arial"/>
        </w:rPr>
        <w:t>our</w:t>
      </w:r>
      <w:r w:rsidRPr="008056B7">
        <w:rPr>
          <w:rFonts w:ascii="Arial" w:hAnsi="Arial" w:cs="Arial"/>
        </w:rPr>
        <w:t xml:space="preserve"> changing climate. It is not only the engineering and planning of a city, it is also the strength of community ties </w:t>
      </w:r>
      <w:r w:rsidR="00E37202">
        <w:rPr>
          <w:rFonts w:ascii="Arial" w:hAnsi="Arial" w:cs="Arial"/>
        </w:rPr>
        <w:t xml:space="preserve">that </w:t>
      </w:r>
      <w:r w:rsidRPr="008056B7">
        <w:rPr>
          <w:rFonts w:ascii="Arial" w:hAnsi="Arial" w:cs="Arial"/>
        </w:rPr>
        <w:t xml:space="preserve">determine who will survive these catastrophes. Social cohesion should continue to inform the planning and building of cities and their emergency responses. </w:t>
      </w:r>
      <w:r w:rsidR="00E37202">
        <w:rPr>
          <w:rFonts w:ascii="Arial" w:hAnsi="Arial" w:cs="Arial"/>
        </w:rPr>
        <w:t xml:space="preserve">Read more about this subject in </w:t>
      </w:r>
      <w:r w:rsidR="00E37202" w:rsidRPr="00E37202">
        <w:rPr>
          <w:rFonts w:ascii="Arial" w:hAnsi="Arial" w:cs="Arial"/>
        </w:rPr>
        <w:t xml:space="preserve">our </w:t>
      </w:r>
      <w:hyperlink r:id="rId39" w:history="1">
        <w:r w:rsidR="00E37202" w:rsidRPr="00E37202">
          <w:rPr>
            <w:rStyle w:val="Hyperlink"/>
            <w:rFonts w:ascii="Arial" w:hAnsi="Arial" w:cs="Arial"/>
          </w:rPr>
          <w:t>SLS Case Study: The 1995 Chicago Heat Wave</w:t>
        </w:r>
      </w:hyperlink>
      <w:r w:rsidR="00E37202">
        <w:rPr>
          <w:rFonts w:ascii="Arial" w:hAnsi="Arial" w:cs="Arial"/>
        </w:rPr>
        <w:t>.</w:t>
      </w:r>
    </w:p>
    <w:p w:rsidR="00E37202" w:rsidRPr="00E37202" w:rsidRDefault="00E37202" w:rsidP="00E37202">
      <w:pPr>
        <w:spacing w:after="120" w:line="276" w:lineRule="auto"/>
        <w:ind w:left="720" w:hanging="720"/>
        <w:rPr>
          <w:rFonts w:ascii="Arial" w:hAnsi="Arial" w:cs="Arial"/>
          <w:b/>
        </w:rPr>
      </w:pPr>
      <w:r w:rsidRPr="00E37202">
        <w:rPr>
          <w:rFonts w:ascii="Arial" w:hAnsi="Arial" w:cs="Arial"/>
          <w:b/>
        </w:rPr>
        <w:t>Works Cited</w:t>
      </w:r>
    </w:p>
    <w:p w:rsidR="00083269" w:rsidRDefault="00CB7DD4" w:rsidP="008370A0">
      <w:pPr>
        <w:spacing w:after="120" w:line="276" w:lineRule="auto"/>
        <w:ind w:left="720" w:hanging="720"/>
        <w:rPr>
          <w:rFonts w:ascii="Arial" w:hAnsi="Arial" w:cs="Arial"/>
        </w:rPr>
      </w:pPr>
      <w:r w:rsidRPr="004A5EEB">
        <w:rPr>
          <w:rFonts w:ascii="Arial" w:hAnsi="Arial" w:cs="Arial"/>
        </w:rPr>
        <w:t xml:space="preserve">Klinenberg, Eric. </w:t>
      </w:r>
      <w:r w:rsidR="002F549C">
        <w:rPr>
          <w:rFonts w:ascii="Arial" w:hAnsi="Arial" w:cs="Arial"/>
        </w:rPr>
        <w:t>(2016</w:t>
      </w:r>
      <w:r>
        <w:rPr>
          <w:rFonts w:ascii="Arial" w:hAnsi="Arial" w:cs="Arial"/>
        </w:rPr>
        <w:t xml:space="preserve">). </w:t>
      </w:r>
      <w:hyperlink r:id="rId40" w:history="1">
        <w:r w:rsidRPr="002F549C">
          <w:rPr>
            <w:rStyle w:val="Hyperlink"/>
            <w:rFonts w:ascii="Arial" w:hAnsi="Arial" w:cs="Arial"/>
          </w:rPr>
          <w:t>Want to Survive Climate Change</w:t>
        </w:r>
        <w:r w:rsidR="002F549C" w:rsidRPr="002F549C">
          <w:rPr>
            <w:rStyle w:val="Hyperlink"/>
            <w:rFonts w:ascii="Arial" w:hAnsi="Arial" w:cs="Arial"/>
          </w:rPr>
          <w:t>? You'll Need a Good Community</w:t>
        </w:r>
      </w:hyperlink>
      <w:r w:rsidR="002F549C">
        <w:rPr>
          <w:rFonts w:ascii="Arial" w:hAnsi="Arial" w:cs="Arial"/>
        </w:rPr>
        <w:t>.</w:t>
      </w:r>
      <w:r w:rsidRPr="004A5EEB">
        <w:rPr>
          <w:rFonts w:ascii="Arial" w:hAnsi="Arial" w:cs="Arial"/>
        </w:rPr>
        <w:t> </w:t>
      </w:r>
      <w:r w:rsidRPr="004A5EEB">
        <w:rPr>
          <w:rFonts w:ascii="Arial" w:hAnsi="Arial" w:cs="Arial"/>
          <w:i/>
          <w:iCs/>
        </w:rPr>
        <w:t>Wired</w:t>
      </w:r>
      <w:r>
        <w:rPr>
          <w:rFonts w:ascii="Arial" w:hAnsi="Arial" w:cs="Arial"/>
        </w:rPr>
        <w:t xml:space="preserve">. </w:t>
      </w:r>
    </w:p>
    <w:p w:rsidR="00083269" w:rsidRPr="006271DC" w:rsidRDefault="00A655A3" w:rsidP="00083269">
      <w:pPr>
        <w:pStyle w:val="Heading2"/>
        <w:spacing w:before="240" w:after="240" w:line="276" w:lineRule="auto"/>
        <w:rPr>
          <w:rFonts w:ascii="Georgia" w:hAnsi="Georgia"/>
          <w:b/>
          <w:color w:val="auto"/>
          <w:sz w:val="28"/>
          <w:szCs w:val="28"/>
        </w:rPr>
      </w:pPr>
      <w:r>
        <w:rPr>
          <w:rFonts w:ascii="Georgia" w:hAnsi="Georgia"/>
          <w:b/>
          <w:color w:val="auto"/>
          <w:sz w:val="28"/>
          <w:szCs w:val="28"/>
        </w:rPr>
        <w:t>Urbanism,</w:t>
      </w:r>
      <w:r w:rsidR="00083269">
        <w:rPr>
          <w:rFonts w:ascii="Georgia" w:hAnsi="Georgia"/>
          <w:b/>
          <w:color w:val="auto"/>
          <w:sz w:val="28"/>
          <w:szCs w:val="28"/>
        </w:rPr>
        <w:t xml:space="preserve"> Environmental</w:t>
      </w:r>
      <w:r>
        <w:rPr>
          <w:rFonts w:ascii="Georgia" w:hAnsi="Georgia"/>
          <w:b/>
          <w:color w:val="auto"/>
          <w:sz w:val="28"/>
          <w:szCs w:val="28"/>
        </w:rPr>
        <w:t>ism,</w:t>
      </w:r>
      <w:r w:rsidR="00083269">
        <w:rPr>
          <w:rFonts w:ascii="Georgia" w:hAnsi="Georgia"/>
          <w:b/>
          <w:color w:val="auto"/>
          <w:sz w:val="28"/>
          <w:szCs w:val="28"/>
        </w:rPr>
        <w:t xml:space="preserve"> and Social Sustainability: The Jolly Avenue Development Center in Clarkston, GA</w:t>
      </w:r>
    </w:p>
    <w:p w:rsidR="0051422D" w:rsidRDefault="00083269" w:rsidP="00083269">
      <w:pPr>
        <w:spacing w:after="120" w:line="276" w:lineRule="auto"/>
        <w:rPr>
          <w:rFonts w:ascii="Arial" w:hAnsi="Arial" w:cs="Arial"/>
        </w:rPr>
      </w:pPr>
      <w:r>
        <w:rPr>
          <w:rFonts w:ascii="Arial" w:hAnsi="Arial" w:cs="Arial"/>
        </w:rPr>
        <w:t>Clarkston, Georgia (about 20 mile</w:t>
      </w:r>
      <w:r w:rsidR="00645468">
        <w:rPr>
          <w:rFonts w:ascii="Arial" w:hAnsi="Arial" w:cs="Arial"/>
        </w:rPr>
        <w:t xml:space="preserve">s east of Georgia Tech) has </w:t>
      </w:r>
      <w:r>
        <w:rPr>
          <w:rFonts w:ascii="Arial" w:hAnsi="Arial" w:cs="Arial"/>
        </w:rPr>
        <w:t>had one of the largest populations of</w:t>
      </w:r>
      <w:r w:rsidR="00681C3A">
        <w:rPr>
          <w:rFonts w:ascii="Arial" w:hAnsi="Arial" w:cs="Arial"/>
        </w:rPr>
        <w:t xml:space="preserve"> resettled</w:t>
      </w:r>
      <w:r>
        <w:rPr>
          <w:rFonts w:ascii="Arial" w:hAnsi="Arial" w:cs="Arial"/>
        </w:rPr>
        <w:t xml:space="preserve"> </w:t>
      </w:r>
      <w:r w:rsidR="00A655A3">
        <w:rPr>
          <w:rFonts w:ascii="Arial" w:hAnsi="Arial" w:cs="Arial"/>
        </w:rPr>
        <w:t xml:space="preserve">refugees </w:t>
      </w:r>
      <w:r w:rsidR="0051422D">
        <w:rPr>
          <w:rFonts w:ascii="Arial" w:hAnsi="Arial" w:cs="Arial"/>
        </w:rPr>
        <w:t>in the United States</w:t>
      </w:r>
      <w:r w:rsidR="00645468">
        <w:rPr>
          <w:rFonts w:ascii="Arial" w:hAnsi="Arial" w:cs="Arial"/>
        </w:rPr>
        <w:t xml:space="preserve"> since the early 1990s</w:t>
      </w:r>
      <w:r w:rsidR="0051422D">
        <w:rPr>
          <w:rFonts w:ascii="Arial" w:hAnsi="Arial" w:cs="Arial"/>
        </w:rPr>
        <w:t xml:space="preserve">. </w:t>
      </w:r>
      <w:r w:rsidR="00F427F5">
        <w:rPr>
          <w:rFonts w:ascii="Arial" w:hAnsi="Arial" w:cs="Arial"/>
        </w:rPr>
        <w:t>The</w:t>
      </w:r>
      <w:r w:rsidR="0051422D">
        <w:rPr>
          <w:rFonts w:ascii="Arial" w:hAnsi="Arial" w:cs="Arial"/>
        </w:rPr>
        <w:t xml:space="preserve"> t</w:t>
      </w:r>
      <w:r w:rsidR="00A655A3">
        <w:rPr>
          <w:rFonts w:ascii="Arial" w:hAnsi="Arial" w:cs="Arial"/>
        </w:rPr>
        <w:t>own</w:t>
      </w:r>
      <w:r w:rsidR="0051422D">
        <w:rPr>
          <w:rFonts w:ascii="Arial" w:hAnsi="Arial" w:cs="Arial"/>
        </w:rPr>
        <w:t xml:space="preserve"> is  known as</w:t>
      </w:r>
      <w:r w:rsidR="00A655A3">
        <w:rPr>
          <w:rFonts w:ascii="Arial" w:hAnsi="Arial" w:cs="Arial"/>
        </w:rPr>
        <w:t xml:space="preserve"> “the most </w:t>
      </w:r>
      <w:r w:rsidR="0051422D">
        <w:rPr>
          <w:rFonts w:ascii="Arial" w:hAnsi="Arial" w:cs="Arial"/>
        </w:rPr>
        <w:t>diverse square mile in America” or “the Ellis Island of the South.”</w:t>
      </w:r>
      <w:r w:rsidR="00F427F5">
        <w:rPr>
          <w:rFonts w:ascii="Arial" w:hAnsi="Arial" w:cs="Arial"/>
        </w:rPr>
        <w:t xml:space="preserve"> T</w:t>
      </w:r>
      <w:r w:rsidR="00A655A3">
        <w:rPr>
          <w:rFonts w:ascii="Arial" w:hAnsi="Arial" w:cs="Arial"/>
        </w:rPr>
        <w:t xml:space="preserve">he non-profit </w:t>
      </w:r>
      <w:hyperlink r:id="rId41" w:history="1">
        <w:r w:rsidR="00A655A3" w:rsidRPr="004433DA">
          <w:rPr>
            <w:rStyle w:val="Hyperlink"/>
            <w:rFonts w:ascii="Arial" w:hAnsi="Arial" w:cs="Arial"/>
          </w:rPr>
          <w:t>Friends of Refugees</w:t>
        </w:r>
      </w:hyperlink>
      <w:r w:rsidR="00A655A3">
        <w:rPr>
          <w:rFonts w:ascii="Arial" w:hAnsi="Arial" w:cs="Arial"/>
        </w:rPr>
        <w:t xml:space="preserve"> </w:t>
      </w:r>
      <w:r w:rsidR="00681C3A">
        <w:rPr>
          <w:rFonts w:ascii="Arial" w:hAnsi="Arial" w:cs="Arial"/>
        </w:rPr>
        <w:t xml:space="preserve">(FoR) </w:t>
      </w:r>
      <w:r w:rsidR="00A655A3">
        <w:rPr>
          <w:rFonts w:ascii="Arial" w:hAnsi="Arial" w:cs="Arial"/>
        </w:rPr>
        <w:t>was founded in</w:t>
      </w:r>
      <w:r w:rsidR="00ED63F4">
        <w:rPr>
          <w:rFonts w:ascii="Arial" w:hAnsi="Arial" w:cs="Arial"/>
        </w:rPr>
        <w:t xml:space="preserve"> Clarkston in</w:t>
      </w:r>
      <w:r w:rsidR="00A655A3">
        <w:rPr>
          <w:rFonts w:ascii="Arial" w:hAnsi="Arial" w:cs="Arial"/>
        </w:rPr>
        <w:t xml:space="preserve"> </w:t>
      </w:r>
      <w:r w:rsidR="00F427F5">
        <w:rPr>
          <w:rFonts w:ascii="Arial" w:hAnsi="Arial" w:cs="Arial"/>
        </w:rPr>
        <w:t xml:space="preserve">1995 to meet the needs of </w:t>
      </w:r>
      <w:r w:rsidR="00681C3A">
        <w:rPr>
          <w:rFonts w:ascii="Arial" w:hAnsi="Arial" w:cs="Arial"/>
        </w:rPr>
        <w:t>newly arrived</w:t>
      </w:r>
      <w:r w:rsidR="00ED63F4">
        <w:rPr>
          <w:rFonts w:ascii="Arial" w:hAnsi="Arial" w:cs="Arial"/>
        </w:rPr>
        <w:t xml:space="preserve"> families,</w:t>
      </w:r>
      <w:r w:rsidR="00645468">
        <w:rPr>
          <w:rFonts w:ascii="Arial" w:hAnsi="Arial" w:cs="Arial"/>
        </w:rPr>
        <w:t xml:space="preserve"> and </w:t>
      </w:r>
      <w:r w:rsidR="00681C3A">
        <w:rPr>
          <w:rFonts w:ascii="Arial" w:hAnsi="Arial" w:cs="Arial"/>
        </w:rPr>
        <w:t>still today organizes its goals and community development work around three pillars: well-being, education, and employment.</w:t>
      </w:r>
      <w:r w:rsidR="0051422D">
        <w:rPr>
          <w:rFonts w:ascii="Arial" w:hAnsi="Arial" w:cs="Arial"/>
        </w:rPr>
        <w:t xml:space="preserve"> </w:t>
      </w:r>
    </w:p>
    <w:p w:rsidR="00B45297" w:rsidRDefault="008370A0" w:rsidP="00631235">
      <w:pPr>
        <w:spacing w:after="120" w:line="276" w:lineRule="auto"/>
        <w:rPr>
          <w:rFonts w:ascii="Arial" w:hAnsi="Arial" w:cs="Arial"/>
        </w:rPr>
      </w:pPr>
      <w:r>
        <w:rPr>
          <w:rFonts w:ascii="Arial" w:hAnsi="Arial" w:cs="Arial"/>
          <w:noProof/>
        </w:rPr>
        <w:drawing>
          <wp:anchor distT="0" distB="0" distL="114300" distR="114300" simplePos="0" relativeHeight="251687936" behindDoc="0" locked="0" layoutInCell="1" allowOverlap="1">
            <wp:simplePos x="0" y="0"/>
            <wp:positionH relativeFrom="column">
              <wp:posOffset>3314700</wp:posOffset>
            </wp:positionH>
            <wp:positionV relativeFrom="paragraph">
              <wp:posOffset>1234440</wp:posOffset>
            </wp:positionV>
            <wp:extent cx="2447925" cy="1308100"/>
            <wp:effectExtent l="25400" t="0" r="0" b="0"/>
            <wp:wrapSquare wrapText="bothSides"/>
            <wp:docPr id="33" name="Picture 13" descr="Macintosh HD:Users:mollyslavin:Desktop:Screen Shot 2019-06-19 at 3.48.4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cintosh HD:Users:mollyslavin:Desktop:Screen Shot 2019-06-19 at 3.48.49 PM.png"/>
                    <pic:cNvPicPr>
                      <a:picLocks noChangeAspect="1" noChangeArrowheads="1"/>
                    </pic:cNvPicPr>
                  </pic:nvPicPr>
                  <pic:blipFill>
                    <a:blip r:embed="rId42"/>
                    <a:srcRect/>
                    <a:stretch>
                      <a:fillRect/>
                    </a:stretch>
                  </pic:blipFill>
                  <pic:spPr bwMode="auto">
                    <a:xfrm>
                      <a:off x="0" y="0"/>
                      <a:ext cx="2447925" cy="1308100"/>
                    </a:xfrm>
                    <a:prstGeom prst="rect">
                      <a:avLst/>
                    </a:prstGeom>
                    <a:noFill/>
                    <a:ln w="9525">
                      <a:noFill/>
                      <a:miter lim="800000"/>
                      <a:headEnd/>
                      <a:tailEnd/>
                    </a:ln>
                  </pic:spPr>
                </pic:pic>
              </a:graphicData>
            </a:graphic>
          </wp:anchor>
        </w:drawing>
      </w:r>
      <w:r w:rsidR="00631235">
        <w:rPr>
          <w:rFonts w:ascii="Arial" w:hAnsi="Arial" w:cs="Arial"/>
        </w:rPr>
        <w:t>Though Friends of Refugees has e</w:t>
      </w:r>
      <w:r w:rsidR="00681C3A">
        <w:rPr>
          <w:rFonts w:ascii="Arial" w:hAnsi="Arial" w:cs="Arial"/>
        </w:rPr>
        <w:t>xisted for 24 years</w:t>
      </w:r>
      <w:r w:rsidR="00631235">
        <w:rPr>
          <w:rFonts w:ascii="Arial" w:hAnsi="Arial" w:cs="Arial"/>
        </w:rPr>
        <w:t>, th</w:t>
      </w:r>
      <w:r w:rsidR="00681C3A">
        <w:rPr>
          <w:rFonts w:ascii="Arial" w:hAnsi="Arial" w:cs="Arial"/>
        </w:rPr>
        <w:t>e organization does not have a</w:t>
      </w:r>
      <w:r w:rsidR="00631235">
        <w:rPr>
          <w:rFonts w:ascii="Arial" w:hAnsi="Arial" w:cs="Arial"/>
        </w:rPr>
        <w:t xml:space="preserve"> centralize</w:t>
      </w:r>
      <w:r w:rsidR="00ED63F4">
        <w:rPr>
          <w:rFonts w:ascii="Arial" w:hAnsi="Arial" w:cs="Arial"/>
        </w:rPr>
        <w:t>d home</w:t>
      </w:r>
      <w:r w:rsidR="00631235">
        <w:rPr>
          <w:rFonts w:ascii="Arial" w:hAnsi="Arial" w:cs="Arial"/>
        </w:rPr>
        <w:t xml:space="preserve">. </w:t>
      </w:r>
      <w:r w:rsidR="00F427F5">
        <w:rPr>
          <w:rFonts w:ascii="Arial" w:hAnsi="Arial" w:cs="Arial"/>
        </w:rPr>
        <w:t>In order to unify its work, Friends of Refugees has begun planning for and building the</w:t>
      </w:r>
      <w:r w:rsidR="00681C3A">
        <w:rPr>
          <w:rFonts w:ascii="Arial" w:hAnsi="Arial" w:cs="Arial"/>
        </w:rPr>
        <w:t xml:space="preserve"> 20,000 square foot</w:t>
      </w:r>
      <w:r w:rsidR="00F427F5">
        <w:rPr>
          <w:rFonts w:ascii="Arial" w:hAnsi="Arial" w:cs="Arial"/>
        </w:rPr>
        <w:t xml:space="preserve"> Jolly Avenue Development Center (JADC) on donated land </w:t>
      </w:r>
      <w:r w:rsidR="00681C3A">
        <w:rPr>
          <w:rFonts w:ascii="Arial" w:hAnsi="Arial" w:cs="Arial"/>
        </w:rPr>
        <w:t>at the center of the lowest-income census tract in Clarkston.</w:t>
      </w:r>
    </w:p>
    <w:p w:rsidR="003600A0" w:rsidRDefault="0020309A" w:rsidP="00631235">
      <w:pPr>
        <w:spacing w:after="120" w:line="276" w:lineRule="auto"/>
        <w:rPr>
          <w:rFonts w:ascii="Arial" w:hAnsi="Arial" w:cs="Arial"/>
        </w:rPr>
      </w:pPr>
      <w:r>
        <w:rPr>
          <w:rFonts w:ascii="Arial" w:hAnsi="Arial" w:cs="Arial"/>
          <w:noProof/>
        </w:rPr>
        <w:pict>
          <v:shape id="_x0000_s1047" type="#_x0000_t202" style="position:absolute;margin-left:260.25pt;margin-top:131.45pt;width:219.75pt;height:31.5pt;z-index:251694080;mso-wrap-edited:f;mso-position-horizontal:absolute;mso-position-vertical:absolute" wrapcoords="0 0 21600 0 21600 21600 0 21600 0 0" filled="f" stroked="f">
            <v:fill o:detectmouseclick="t"/>
            <v:textbox style="mso-next-textbox:#_x0000_s1047;mso-fit-shape-to-text:t" inset="0,0,0,0">
              <w:txbxContent>
                <w:p w:rsidR="001E1E61" w:rsidRPr="00DE7186" w:rsidRDefault="001E1E61" w:rsidP="008370A0">
                  <w:pPr>
                    <w:pStyle w:val="Caption"/>
                    <w:rPr>
                      <w:rFonts w:ascii="Arial" w:hAnsi="Arial"/>
                      <w:b w:val="0"/>
                      <w:color w:val="auto"/>
                    </w:rPr>
                  </w:pPr>
                  <w:r w:rsidRPr="00DE7186">
                    <w:rPr>
                      <w:rFonts w:ascii="Arial" w:hAnsi="Arial"/>
                      <w:b w:val="0"/>
                      <w:color w:val="auto"/>
                    </w:rPr>
                    <w:t xml:space="preserve">Figure </w:t>
                  </w:r>
                  <w:r w:rsidR="0020309A" w:rsidRPr="00DE7186">
                    <w:rPr>
                      <w:rFonts w:ascii="Arial" w:hAnsi="Arial"/>
                      <w:b w:val="0"/>
                      <w:color w:val="auto"/>
                    </w:rPr>
                    <w:fldChar w:fldCharType="begin"/>
                  </w:r>
                  <w:r w:rsidRPr="00DE7186">
                    <w:rPr>
                      <w:rFonts w:ascii="Arial" w:hAnsi="Arial"/>
                      <w:b w:val="0"/>
                      <w:color w:val="auto"/>
                    </w:rPr>
                    <w:instrText xml:space="preserve"> SEQ Figure \* ARABIC </w:instrText>
                  </w:r>
                  <w:r w:rsidR="0020309A" w:rsidRPr="00DE7186">
                    <w:rPr>
                      <w:rFonts w:ascii="Arial" w:hAnsi="Arial"/>
                      <w:b w:val="0"/>
                      <w:color w:val="auto"/>
                    </w:rPr>
                    <w:fldChar w:fldCharType="separate"/>
                  </w:r>
                  <w:r>
                    <w:rPr>
                      <w:rFonts w:ascii="Arial" w:hAnsi="Arial"/>
                      <w:b w:val="0"/>
                      <w:noProof/>
                      <w:color w:val="auto"/>
                    </w:rPr>
                    <w:t>11</w:t>
                  </w:r>
                  <w:r w:rsidR="0020309A" w:rsidRPr="00DE7186">
                    <w:rPr>
                      <w:rFonts w:ascii="Arial" w:hAnsi="Arial"/>
                      <w:b w:val="0"/>
                      <w:color w:val="auto"/>
                    </w:rPr>
                    <w:fldChar w:fldCharType="end"/>
                  </w:r>
                  <w:r w:rsidRPr="00DE7186">
                    <w:rPr>
                      <w:rFonts w:ascii="Arial" w:hAnsi="Arial"/>
                      <w:b w:val="0"/>
                      <w:color w:val="auto"/>
                    </w:rPr>
                    <w:t>, Image of the Future Jolly Avenue Development Center, Friends of Refugees</w:t>
                  </w:r>
                </w:p>
              </w:txbxContent>
            </v:textbox>
            <w10:wrap type="tight"/>
          </v:shape>
        </w:pict>
      </w:r>
      <w:r w:rsidR="00B45297">
        <w:rPr>
          <w:rFonts w:ascii="Arial" w:hAnsi="Arial" w:cs="Arial"/>
        </w:rPr>
        <w:t xml:space="preserve">The JADC will be built </w:t>
      </w:r>
      <w:r w:rsidR="00681C3A">
        <w:rPr>
          <w:rFonts w:ascii="Arial" w:hAnsi="Arial" w:cs="Arial"/>
        </w:rPr>
        <w:t>in front of the site of FoR’s existing community gardens,</w:t>
      </w:r>
      <w:r w:rsidR="00B45297">
        <w:rPr>
          <w:rFonts w:ascii="Arial" w:hAnsi="Arial" w:cs="Arial"/>
        </w:rPr>
        <w:t xml:space="preserve"> which will allow </w:t>
      </w:r>
      <w:r w:rsidR="00681C3A">
        <w:rPr>
          <w:rFonts w:ascii="Arial" w:hAnsi="Arial" w:cs="Arial"/>
        </w:rPr>
        <w:t>the organization</w:t>
      </w:r>
      <w:r w:rsidR="00B45297">
        <w:rPr>
          <w:rFonts w:ascii="Arial" w:hAnsi="Arial" w:cs="Arial"/>
        </w:rPr>
        <w:t xml:space="preserve"> to expand its food and agricultural programs. It will also feature an edible </w:t>
      </w:r>
      <w:r w:rsidR="00ED63F4">
        <w:rPr>
          <w:rFonts w:ascii="Arial" w:hAnsi="Arial" w:cs="Arial"/>
        </w:rPr>
        <w:t>landscape, public benches, and</w:t>
      </w:r>
      <w:r w:rsidR="00B45297">
        <w:rPr>
          <w:rFonts w:ascii="Arial" w:hAnsi="Arial" w:cs="Arial"/>
        </w:rPr>
        <w:t xml:space="preserve"> meeting space. It will host a full-time caretaker </w:t>
      </w:r>
      <w:r w:rsidR="00681C3A">
        <w:rPr>
          <w:rFonts w:ascii="Arial" w:hAnsi="Arial" w:cs="Arial"/>
        </w:rPr>
        <w:t>family who will operate the center and provide a “neighboring” presence</w:t>
      </w:r>
      <w:r w:rsidR="00B45297">
        <w:rPr>
          <w:rFonts w:ascii="Arial" w:hAnsi="Arial" w:cs="Arial"/>
        </w:rPr>
        <w:t>. Overall, the JADC is being constructed with careful attention to environmental design and affordability: when completed, it will be the most operationally affordable and efficient building of its kind in the country.</w:t>
      </w:r>
      <w:r w:rsidR="001B038D">
        <w:rPr>
          <w:rFonts w:ascii="Arial" w:hAnsi="Arial" w:cs="Arial"/>
        </w:rPr>
        <w:t xml:space="preserve"> </w:t>
      </w:r>
      <w:r w:rsidR="00ED63F4">
        <w:rPr>
          <w:rFonts w:ascii="Arial" w:hAnsi="Arial" w:cs="Arial"/>
        </w:rPr>
        <w:t>Friends of Refugees want</w:t>
      </w:r>
      <w:r w:rsidR="004433DA">
        <w:rPr>
          <w:rFonts w:ascii="Arial" w:hAnsi="Arial" w:cs="Arial"/>
        </w:rPr>
        <w:t>s</w:t>
      </w:r>
      <w:r w:rsidR="00ED63F4">
        <w:rPr>
          <w:rFonts w:ascii="Arial" w:hAnsi="Arial" w:cs="Arial"/>
        </w:rPr>
        <w:t xml:space="preserve"> the JADC to</w:t>
      </w:r>
      <w:r w:rsidR="001B038D">
        <w:rPr>
          <w:rFonts w:ascii="Arial" w:hAnsi="Arial" w:cs="Arial"/>
        </w:rPr>
        <w:t xml:space="preserve"> be able to be sustained in perpetuity b</w:t>
      </w:r>
      <w:r w:rsidR="00ED63F4">
        <w:rPr>
          <w:rFonts w:ascii="Arial" w:hAnsi="Arial" w:cs="Arial"/>
        </w:rPr>
        <w:t xml:space="preserve">y the community that it serves, meaning </w:t>
      </w:r>
      <w:r w:rsidR="001B038D">
        <w:rPr>
          <w:rFonts w:ascii="Arial" w:hAnsi="Arial" w:cs="Arial"/>
        </w:rPr>
        <w:t xml:space="preserve">that donors’ resources </w:t>
      </w:r>
      <w:r w:rsidR="00681C3A">
        <w:rPr>
          <w:rFonts w:ascii="Arial" w:hAnsi="Arial" w:cs="Arial"/>
        </w:rPr>
        <w:t>can</w:t>
      </w:r>
      <w:r w:rsidR="001B038D">
        <w:rPr>
          <w:rFonts w:ascii="Arial" w:hAnsi="Arial" w:cs="Arial"/>
        </w:rPr>
        <w:t xml:space="preserve"> be used for direct service</w:t>
      </w:r>
      <w:r w:rsidR="00681C3A">
        <w:rPr>
          <w:rFonts w:ascii="Arial" w:hAnsi="Arial" w:cs="Arial"/>
        </w:rPr>
        <w:t>s</w:t>
      </w:r>
      <w:r w:rsidR="001B038D">
        <w:rPr>
          <w:rFonts w:ascii="Arial" w:hAnsi="Arial" w:cs="Arial"/>
        </w:rPr>
        <w:t>, ra</w:t>
      </w:r>
      <w:r w:rsidR="00681C3A">
        <w:rPr>
          <w:rFonts w:ascii="Arial" w:hAnsi="Arial" w:cs="Arial"/>
        </w:rPr>
        <w:t>ther than upkeep of buildings and</w:t>
      </w:r>
      <w:r w:rsidR="001B038D">
        <w:rPr>
          <w:rFonts w:ascii="Arial" w:hAnsi="Arial" w:cs="Arial"/>
        </w:rPr>
        <w:t xml:space="preserve"> infrastructure.</w:t>
      </w:r>
      <w:r w:rsidR="00F427F5">
        <w:rPr>
          <w:rFonts w:ascii="Arial" w:hAnsi="Arial" w:cs="Arial"/>
        </w:rPr>
        <w:t xml:space="preserve"> The JADC is to </w:t>
      </w:r>
      <w:r w:rsidR="00681C3A">
        <w:rPr>
          <w:rFonts w:ascii="Arial" w:hAnsi="Arial" w:cs="Arial"/>
        </w:rPr>
        <w:t>be built as a changing canvas that future generations will be able to adapt for their felt needs, rather than as a stolid and unchanging structure.</w:t>
      </w:r>
      <w:r w:rsidR="00F427F5">
        <w:rPr>
          <w:rFonts w:ascii="Arial" w:hAnsi="Arial" w:cs="Arial"/>
        </w:rPr>
        <w:t xml:space="preserve"> </w:t>
      </w:r>
    </w:p>
    <w:p w:rsidR="003600A0" w:rsidRDefault="003600A0" w:rsidP="00631235">
      <w:pPr>
        <w:spacing w:after="120" w:line="276" w:lineRule="auto"/>
        <w:rPr>
          <w:rFonts w:ascii="Arial" w:hAnsi="Arial" w:cs="Arial"/>
        </w:rPr>
      </w:pPr>
      <w:r>
        <w:rPr>
          <w:rFonts w:ascii="Arial" w:hAnsi="Arial" w:cs="Arial"/>
        </w:rPr>
        <w:t xml:space="preserve">A key part of this changing canvas is a focus on environmental sustainability. As Brian Bollinger, executive director of Friends of Refugees, says, “You cannot have a sustainable community without environmental sustainability. Environmental sustainability is one of the legs of the tripod that will make a community resilient and able to adapt to obstacles and weather change successfully.” In addition, because so many of the new Americans that Friends of Refugees serve have had to leave their countries of origin due to resource scarcity and climate change, a focus on environmental sustainability both falls in line with the goals of the organization and of the city of Clarkston more generally. </w:t>
      </w:r>
      <w:r w:rsidR="00F57606">
        <w:rPr>
          <w:rFonts w:ascii="Arial" w:hAnsi="Arial" w:cs="Arial"/>
        </w:rPr>
        <w:t xml:space="preserve">Clarkston has recently made a decision to align itself with the United Nations’ </w:t>
      </w:r>
      <w:hyperlink r:id="rId43" w:history="1">
        <w:r w:rsidR="00F57606" w:rsidRPr="00F57606">
          <w:rPr>
            <w:rStyle w:val="Hyperlink"/>
            <w:rFonts w:ascii="Arial" w:hAnsi="Arial" w:cs="Arial"/>
          </w:rPr>
          <w:t>Sustainable Development Goals</w:t>
        </w:r>
      </w:hyperlink>
      <w:r w:rsidR="00F57606">
        <w:rPr>
          <w:rFonts w:ascii="Arial" w:hAnsi="Arial" w:cs="Arial"/>
        </w:rPr>
        <w:t xml:space="preserve">, which necessitate attention to the natural and social environments; focusing on the way these contexts overlap and link are one way to address a key element of the ongoing contemporary refugee and climate crises. </w:t>
      </w:r>
    </w:p>
    <w:p w:rsidR="00F427F5" w:rsidRDefault="00631235" w:rsidP="00631235">
      <w:pPr>
        <w:spacing w:after="120" w:line="276" w:lineRule="auto"/>
        <w:rPr>
          <w:rFonts w:ascii="Arial" w:hAnsi="Arial" w:cs="Arial"/>
        </w:rPr>
      </w:pPr>
      <w:r>
        <w:rPr>
          <w:rFonts w:ascii="Arial" w:hAnsi="Arial" w:cs="Arial"/>
        </w:rPr>
        <w:t xml:space="preserve">One of Friends of Refugees’ key </w:t>
      </w:r>
      <w:r w:rsidR="00681C3A">
        <w:rPr>
          <w:rFonts w:ascii="Arial" w:hAnsi="Arial" w:cs="Arial"/>
        </w:rPr>
        <w:t>beliefs</w:t>
      </w:r>
      <w:r>
        <w:rPr>
          <w:rFonts w:ascii="Arial" w:hAnsi="Arial" w:cs="Arial"/>
        </w:rPr>
        <w:t xml:space="preserve"> is that </w:t>
      </w:r>
      <w:r w:rsidRPr="00681C3A">
        <w:rPr>
          <w:rFonts w:ascii="Arial" w:hAnsi="Arial" w:cs="Arial"/>
          <w:i/>
        </w:rPr>
        <w:t>intelligence, ability</w:t>
      </w:r>
      <w:r>
        <w:rPr>
          <w:rFonts w:ascii="Arial" w:hAnsi="Arial" w:cs="Arial"/>
        </w:rPr>
        <w:t xml:space="preserve">, and </w:t>
      </w:r>
      <w:r w:rsidRPr="00681C3A">
        <w:rPr>
          <w:rFonts w:ascii="Arial" w:hAnsi="Arial" w:cs="Arial"/>
          <w:i/>
        </w:rPr>
        <w:t>ambition</w:t>
      </w:r>
      <w:r>
        <w:rPr>
          <w:rFonts w:ascii="Arial" w:hAnsi="Arial" w:cs="Arial"/>
        </w:rPr>
        <w:t xml:space="preserve"> are human assets that are equally distributed throughout the world’s population, but the </w:t>
      </w:r>
      <w:r w:rsidRPr="00681C3A">
        <w:rPr>
          <w:rFonts w:ascii="Arial" w:hAnsi="Arial" w:cs="Arial"/>
          <w:i/>
        </w:rPr>
        <w:t>opportunity</w:t>
      </w:r>
      <w:r>
        <w:rPr>
          <w:rFonts w:ascii="Arial" w:hAnsi="Arial" w:cs="Arial"/>
        </w:rPr>
        <w:t xml:space="preserve"> to deploy these assets</w:t>
      </w:r>
      <w:r w:rsidR="00681C3A">
        <w:rPr>
          <w:rFonts w:ascii="Arial" w:hAnsi="Arial" w:cs="Arial"/>
        </w:rPr>
        <w:t xml:space="preserve"> for progress</w:t>
      </w:r>
      <w:r>
        <w:rPr>
          <w:rFonts w:ascii="Arial" w:hAnsi="Arial" w:cs="Arial"/>
        </w:rPr>
        <w:t xml:space="preserve"> is not equally distributed. To that end, the organization felt it necessary to listen to the community – their neighbors – when </w:t>
      </w:r>
      <w:r w:rsidR="00681C3A">
        <w:rPr>
          <w:rFonts w:ascii="Arial" w:hAnsi="Arial" w:cs="Arial"/>
        </w:rPr>
        <w:t>creating</w:t>
      </w:r>
      <w:r>
        <w:rPr>
          <w:rFonts w:ascii="Arial" w:hAnsi="Arial" w:cs="Arial"/>
        </w:rPr>
        <w:t xml:space="preserve"> this space. Active </w:t>
      </w:r>
      <w:r w:rsidRPr="00681C3A">
        <w:rPr>
          <w:rFonts w:ascii="Arial" w:hAnsi="Arial" w:cs="Arial"/>
          <w:i/>
        </w:rPr>
        <w:t>listening</w:t>
      </w:r>
      <w:r>
        <w:rPr>
          <w:rFonts w:ascii="Arial" w:hAnsi="Arial" w:cs="Arial"/>
        </w:rPr>
        <w:t xml:space="preserve"> and </w:t>
      </w:r>
      <w:r w:rsidRPr="00681C3A">
        <w:rPr>
          <w:rFonts w:ascii="Arial" w:hAnsi="Arial" w:cs="Arial"/>
          <w:i/>
        </w:rPr>
        <w:t>incorporation</w:t>
      </w:r>
      <w:r>
        <w:rPr>
          <w:rFonts w:ascii="Arial" w:hAnsi="Arial" w:cs="Arial"/>
        </w:rPr>
        <w:t xml:space="preserve"> of people’s ideas </w:t>
      </w:r>
      <w:r w:rsidR="00681C3A">
        <w:rPr>
          <w:rFonts w:ascii="Arial" w:hAnsi="Arial" w:cs="Arial"/>
        </w:rPr>
        <w:t>and voices will</w:t>
      </w:r>
      <w:r w:rsidR="00B45297">
        <w:rPr>
          <w:rFonts w:ascii="Arial" w:hAnsi="Arial" w:cs="Arial"/>
        </w:rPr>
        <w:t xml:space="preserve"> allow Friends of Refugees to ensure the JADC </w:t>
      </w:r>
      <w:r w:rsidR="00681C3A">
        <w:rPr>
          <w:rFonts w:ascii="Arial" w:hAnsi="Arial" w:cs="Arial"/>
        </w:rPr>
        <w:t>takes</w:t>
      </w:r>
      <w:r w:rsidR="00F427F5">
        <w:rPr>
          <w:rFonts w:ascii="Arial" w:hAnsi="Arial" w:cs="Arial"/>
        </w:rPr>
        <w:t xml:space="preserve"> into account the nuanced needs </w:t>
      </w:r>
      <w:r w:rsidR="00681C3A">
        <w:rPr>
          <w:rFonts w:ascii="Arial" w:hAnsi="Arial" w:cs="Arial"/>
        </w:rPr>
        <w:t>a hyper-diverse neighborhood</w:t>
      </w:r>
      <w:r w:rsidR="00F427F5">
        <w:rPr>
          <w:rFonts w:ascii="Arial" w:hAnsi="Arial" w:cs="Arial"/>
        </w:rPr>
        <w:t xml:space="preserve"> and be able to sustain itself, both environmentally and socially, into the future. </w:t>
      </w:r>
      <w:r w:rsidR="003600A0">
        <w:rPr>
          <w:rFonts w:ascii="Arial" w:hAnsi="Arial" w:cs="Arial"/>
        </w:rPr>
        <w:t>According to Brian Bollinger,</w:t>
      </w:r>
      <w:r w:rsidR="00F427F5">
        <w:rPr>
          <w:rFonts w:ascii="Arial" w:hAnsi="Arial" w:cs="Arial"/>
        </w:rPr>
        <w:t xml:space="preserve"> “Social sustainability is not possible without environmental sustainability; they go hand in hand.” By truly listening to, and taking into account, the needs and desires of the community the center </w:t>
      </w:r>
      <w:r w:rsidR="00681C3A">
        <w:rPr>
          <w:rFonts w:ascii="Arial" w:hAnsi="Arial" w:cs="Arial"/>
        </w:rPr>
        <w:t>serves, the JADC will be a groundbreaking building, especially for those neighbors who are beginning their new American journeys in Clarkston, Georgia.</w:t>
      </w:r>
      <w:r w:rsidR="00F427F5">
        <w:rPr>
          <w:rFonts w:ascii="Arial" w:hAnsi="Arial" w:cs="Arial"/>
        </w:rPr>
        <w:t xml:space="preserve"> </w:t>
      </w:r>
    </w:p>
    <w:p w:rsidR="00F427F5" w:rsidRPr="00E37202" w:rsidRDefault="00F427F5" w:rsidP="00F427F5">
      <w:pPr>
        <w:spacing w:after="120" w:line="276" w:lineRule="auto"/>
        <w:ind w:left="720" w:hanging="720"/>
        <w:rPr>
          <w:rFonts w:ascii="Arial" w:hAnsi="Arial" w:cs="Arial"/>
          <w:b/>
        </w:rPr>
      </w:pPr>
      <w:r w:rsidRPr="00E37202">
        <w:rPr>
          <w:rFonts w:ascii="Arial" w:hAnsi="Arial" w:cs="Arial"/>
          <w:b/>
        </w:rPr>
        <w:t>Works Cited</w:t>
      </w:r>
    </w:p>
    <w:p w:rsidR="00F57606" w:rsidRDefault="00F427F5" w:rsidP="00F427F5">
      <w:pPr>
        <w:spacing w:after="120" w:line="276" w:lineRule="auto"/>
        <w:ind w:left="720" w:hanging="720"/>
        <w:rPr>
          <w:rFonts w:ascii="Arial" w:hAnsi="Arial" w:cs="Arial"/>
        </w:rPr>
      </w:pPr>
      <w:r>
        <w:rPr>
          <w:rFonts w:ascii="Arial" w:hAnsi="Arial" w:cs="Arial"/>
        </w:rPr>
        <w:t>Brian Bollinger</w:t>
      </w:r>
      <w:r w:rsidRPr="008056B7">
        <w:rPr>
          <w:rFonts w:ascii="Arial" w:hAnsi="Arial" w:cs="Arial"/>
        </w:rPr>
        <w:t xml:space="preserve"> (personal interview) </w:t>
      </w:r>
      <w:r>
        <w:rPr>
          <w:rFonts w:ascii="Arial" w:hAnsi="Arial" w:cs="Arial"/>
        </w:rPr>
        <w:t>(Executive Director of Friends of Refugees)</w:t>
      </w:r>
    </w:p>
    <w:p w:rsidR="00F427F5" w:rsidRPr="008056B7" w:rsidRDefault="00F57606" w:rsidP="00F427F5">
      <w:pPr>
        <w:spacing w:after="120" w:line="276" w:lineRule="auto"/>
        <w:ind w:left="720" w:hanging="720"/>
        <w:rPr>
          <w:rFonts w:ascii="Arial" w:hAnsi="Arial" w:cs="Arial"/>
        </w:rPr>
      </w:pPr>
      <w:r>
        <w:rPr>
          <w:rFonts w:ascii="Arial" w:hAnsi="Arial" w:cs="Arial"/>
        </w:rPr>
        <w:t xml:space="preserve">No Author (no date). </w:t>
      </w:r>
      <w:hyperlink r:id="rId44" w:history="1">
        <w:r w:rsidRPr="00F57606">
          <w:rPr>
            <w:rStyle w:val="Hyperlink"/>
            <w:rFonts w:ascii="Arial" w:hAnsi="Arial" w:cs="Arial"/>
          </w:rPr>
          <w:t>Sustainable Development Goals</w:t>
        </w:r>
      </w:hyperlink>
      <w:r>
        <w:rPr>
          <w:rFonts w:ascii="Arial" w:hAnsi="Arial" w:cs="Arial"/>
        </w:rPr>
        <w:t>. United Nations.</w:t>
      </w:r>
    </w:p>
    <w:p w:rsidR="00ED63F4" w:rsidRPr="006271DC" w:rsidRDefault="007F331B" w:rsidP="00ED63F4">
      <w:pPr>
        <w:pStyle w:val="Heading2"/>
        <w:spacing w:before="240" w:after="240" w:line="276" w:lineRule="auto"/>
        <w:rPr>
          <w:rFonts w:ascii="Georgia" w:hAnsi="Georgia"/>
          <w:b/>
          <w:color w:val="auto"/>
          <w:sz w:val="28"/>
          <w:szCs w:val="28"/>
        </w:rPr>
      </w:pPr>
      <w:r>
        <w:rPr>
          <w:rFonts w:ascii="Georgia" w:hAnsi="Georgia"/>
          <w:b/>
          <w:color w:val="auto"/>
          <w:sz w:val="28"/>
          <w:szCs w:val="28"/>
        </w:rPr>
        <w:t xml:space="preserve">Citizen Science: </w:t>
      </w:r>
      <w:r w:rsidR="00283A8A">
        <w:rPr>
          <w:rFonts w:ascii="Georgia" w:hAnsi="Georgia"/>
          <w:b/>
          <w:color w:val="auto"/>
          <w:sz w:val="28"/>
          <w:szCs w:val="28"/>
        </w:rPr>
        <w:t>ISee</w:t>
      </w:r>
      <w:r w:rsidR="00AF0F11">
        <w:rPr>
          <w:rFonts w:ascii="Georgia" w:hAnsi="Georgia"/>
          <w:b/>
          <w:color w:val="auto"/>
          <w:sz w:val="28"/>
          <w:szCs w:val="28"/>
        </w:rPr>
        <w:t>Change in New Orleans</w:t>
      </w:r>
    </w:p>
    <w:p w:rsidR="00302AF3" w:rsidRDefault="00302AF3" w:rsidP="00631235">
      <w:pPr>
        <w:spacing w:after="120" w:line="276" w:lineRule="auto"/>
        <w:rPr>
          <w:rFonts w:ascii="Arial" w:hAnsi="Arial" w:cs="Arial"/>
        </w:rPr>
      </w:pPr>
      <w:r>
        <w:rPr>
          <w:rFonts w:ascii="Arial" w:hAnsi="Arial" w:cs="Arial"/>
        </w:rPr>
        <w:t>In 2013, environmental reporter Julia Kumari Dra</w:t>
      </w:r>
      <w:r w:rsidR="00283A8A">
        <w:rPr>
          <w:rFonts w:ascii="Arial" w:hAnsi="Arial" w:cs="Arial"/>
        </w:rPr>
        <w:t>pkin created the organization ISee</w:t>
      </w:r>
      <w:r>
        <w:rPr>
          <w:rFonts w:ascii="Arial" w:hAnsi="Arial" w:cs="Arial"/>
        </w:rPr>
        <w:t xml:space="preserve">Change, a citizen science organization dedicated to helping people understand the immense effects of climate change by localizing the crisis and making it </w:t>
      </w:r>
      <w:r w:rsidR="00283A8A">
        <w:rPr>
          <w:rFonts w:ascii="Arial" w:hAnsi="Arial" w:cs="Arial"/>
        </w:rPr>
        <w:t xml:space="preserve">measurable, </w:t>
      </w:r>
      <w:r>
        <w:rPr>
          <w:rFonts w:ascii="Arial" w:hAnsi="Arial" w:cs="Arial"/>
        </w:rPr>
        <w:t>tangible</w:t>
      </w:r>
      <w:r w:rsidR="00283A8A">
        <w:rPr>
          <w:rFonts w:ascii="Arial" w:hAnsi="Arial" w:cs="Arial"/>
        </w:rPr>
        <w:t>,</w:t>
      </w:r>
      <w:r>
        <w:rPr>
          <w:rFonts w:ascii="Arial" w:hAnsi="Arial" w:cs="Arial"/>
        </w:rPr>
        <w:t xml:space="preserve"> and comprehensible</w:t>
      </w:r>
      <w:r w:rsidR="00283A8A">
        <w:rPr>
          <w:rFonts w:ascii="Arial" w:hAnsi="Arial" w:cs="Arial"/>
        </w:rPr>
        <w:t xml:space="preserve"> to those whose lives it impacts directly</w:t>
      </w:r>
      <w:r>
        <w:rPr>
          <w:rFonts w:ascii="Arial" w:hAnsi="Arial" w:cs="Arial"/>
        </w:rPr>
        <w:t>. Drapkin had spent a number of years reporting on the effects o</w:t>
      </w:r>
      <w:r w:rsidR="00283A8A">
        <w:rPr>
          <w:rFonts w:ascii="Arial" w:hAnsi="Arial" w:cs="Arial"/>
        </w:rPr>
        <w:t>f climate change, and founded ISee</w:t>
      </w:r>
      <w:r>
        <w:rPr>
          <w:rFonts w:ascii="Arial" w:hAnsi="Arial" w:cs="Arial"/>
        </w:rPr>
        <w:t xml:space="preserve">Change in order to help individuals see how it manifests in their own communities. </w:t>
      </w:r>
    </w:p>
    <w:p w:rsidR="00085129" w:rsidRDefault="00283A8A" w:rsidP="00631235">
      <w:pPr>
        <w:spacing w:after="120" w:line="276" w:lineRule="auto"/>
        <w:rPr>
          <w:rFonts w:ascii="Arial" w:hAnsi="Arial" w:cs="Arial"/>
        </w:rPr>
      </w:pPr>
      <w:r>
        <w:rPr>
          <w:rFonts w:ascii="Arial" w:hAnsi="Arial" w:cs="Arial"/>
        </w:rPr>
        <w:t>ISee</w:t>
      </w:r>
      <w:r w:rsidR="00AF0F11">
        <w:rPr>
          <w:rFonts w:ascii="Arial" w:hAnsi="Arial" w:cs="Arial"/>
        </w:rPr>
        <w:t>Change</w:t>
      </w:r>
      <w:r w:rsidR="00085129">
        <w:rPr>
          <w:rFonts w:ascii="Arial" w:hAnsi="Arial" w:cs="Arial"/>
        </w:rPr>
        <w:t xml:space="preserve"> is a global organization “dedicated to empowering communities to document and understand their environment, weather and climate in order to increase resilience” (</w:t>
      </w:r>
      <w:hyperlink r:id="rId45" w:history="1">
        <w:r w:rsidR="00085129" w:rsidRPr="005D344A">
          <w:rPr>
            <w:rStyle w:val="Hyperlink"/>
            <w:rFonts w:ascii="Arial" w:hAnsi="Arial" w:cs="Arial"/>
          </w:rPr>
          <w:t>www.iseechange.org/about/mission</w:t>
        </w:r>
      </w:hyperlink>
      <w:r w:rsidR="00085129">
        <w:rPr>
          <w:rFonts w:ascii="Arial" w:hAnsi="Arial" w:cs="Arial"/>
        </w:rPr>
        <w:t>). I</w:t>
      </w:r>
      <w:r>
        <w:rPr>
          <w:rFonts w:ascii="Arial" w:hAnsi="Arial" w:cs="Arial"/>
        </w:rPr>
        <w:t>n order to achieve this goal, ISee</w:t>
      </w:r>
      <w:r w:rsidR="00085129">
        <w:rPr>
          <w:rFonts w:ascii="Arial" w:hAnsi="Arial" w:cs="Arial"/>
        </w:rPr>
        <w:t xml:space="preserve">Change </w:t>
      </w:r>
      <w:r w:rsidR="00F50455">
        <w:rPr>
          <w:rFonts w:ascii="Arial" w:hAnsi="Arial" w:cs="Arial"/>
        </w:rPr>
        <w:t xml:space="preserve">practices a form of citizen science, </w:t>
      </w:r>
      <w:r w:rsidR="00085129">
        <w:rPr>
          <w:rFonts w:ascii="Arial" w:hAnsi="Arial" w:cs="Arial"/>
        </w:rPr>
        <w:t>o</w:t>
      </w:r>
      <w:r w:rsidR="00F50455">
        <w:rPr>
          <w:rFonts w:ascii="Arial" w:hAnsi="Arial" w:cs="Arial"/>
        </w:rPr>
        <w:t>ffering</w:t>
      </w:r>
      <w:r w:rsidR="00085129">
        <w:rPr>
          <w:rFonts w:ascii="Arial" w:hAnsi="Arial" w:cs="Arial"/>
        </w:rPr>
        <w:t xml:space="preserve"> a multitude of tools and </w:t>
      </w:r>
      <w:r>
        <w:rPr>
          <w:rFonts w:ascii="Arial" w:hAnsi="Arial" w:cs="Arial"/>
        </w:rPr>
        <w:t xml:space="preserve">harnessing the power of common </w:t>
      </w:r>
      <w:r w:rsidR="00085129">
        <w:rPr>
          <w:rFonts w:ascii="Arial" w:hAnsi="Arial" w:cs="Arial"/>
        </w:rPr>
        <w:t>platforms</w:t>
      </w:r>
      <w:r>
        <w:rPr>
          <w:rFonts w:ascii="Arial" w:hAnsi="Arial" w:cs="Arial"/>
        </w:rPr>
        <w:t xml:space="preserve"> like social media</w:t>
      </w:r>
      <w:r w:rsidR="00085129">
        <w:rPr>
          <w:rFonts w:ascii="Arial" w:hAnsi="Arial" w:cs="Arial"/>
        </w:rPr>
        <w:t xml:space="preserve"> so that everyday citizens can </w:t>
      </w:r>
      <w:r w:rsidR="000665E7">
        <w:rPr>
          <w:rFonts w:ascii="Arial" w:hAnsi="Arial" w:cs="Arial"/>
        </w:rPr>
        <w:t>document</w:t>
      </w:r>
      <w:r w:rsidR="00085129">
        <w:rPr>
          <w:rFonts w:ascii="Arial" w:hAnsi="Arial" w:cs="Arial"/>
        </w:rPr>
        <w:t xml:space="preserve"> how climate change affects daily life in their own locations and </w:t>
      </w:r>
      <w:r w:rsidR="002F6009">
        <w:rPr>
          <w:rFonts w:ascii="Arial" w:hAnsi="Arial" w:cs="Arial"/>
        </w:rPr>
        <w:t xml:space="preserve">create a community record that </w:t>
      </w:r>
      <w:r w:rsidR="000665E7">
        <w:rPr>
          <w:rFonts w:ascii="Arial" w:hAnsi="Arial" w:cs="Arial"/>
        </w:rPr>
        <w:t>provide</w:t>
      </w:r>
      <w:r w:rsidR="002F6009">
        <w:rPr>
          <w:rFonts w:ascii="Arial" w:hAnsi="Arial" w:cs="Arial"/>
        </w:rPr>
        <w:t>s</w:t>
      </w:r>
      <w:r w:rsidR="000665E7">
        <w:rPr>
          <w:rFonts w:ascii="Arial" w:hAnsi="Arial" w:cs="Arial"/>
        </w:rPr>
        <w:t xml:space="preserve"> useful data for</w:t>
      </w:r>
      <w:r w:rsidR="00085129">
        <w:rPr>
          <w:rFonts w:ascii="Arial" w:hAnsi="Arial" w:cs="Arial"/>
        </w:rPr>
        <w:t xml:space="preserve"> change in their local communities. </w:t>
      </w:r>
      <w:r w:rsidR="009B4217">
        <w:rPr>
          <w:rFonts w:ascii="Arial" w:hAnsi="Arial" w:cs="Arial"/>
        </w:rPr>
        <w:t>Citizen-collected</w:t>
      </w:r>
      <w:r>
        <w:rPr>
          <w:rFonts w:ascii="Arial" w:hAnsi="Arial" w:cs="Arial"/>
        </w:rPr>
        <w:t xml:space="preserve"> measurements, photos, and</w:t>
      </w:r>
      <w:r w:rsidR="009B4217">
        <w:rPr>
          <w:rFonts w:ascii="Arial" w:hAnsi="Arial" w:cs="Arial"/>
        </w:rPr>
        <w:t xml:space="preserve"> stories about scientific phenomena can help lead to different understandings </w:t>
      </w:r>
      <w:r>
        <w:rPr>
          <w:rFonts w:ascii="Arial" w:hAnsi="Arial" w:cs="Arial"/>
        </w:rPr>
        <w:t>of the problem: for instance, ISee</w:t>
      </w:r>
      <w:r w:rsidR="009B4217">
        <w:rPr>
          <w:rFonts w:ascii="Arial" w:hAnsi="Arial" w:cs="Arial"/>
        </w:rPr>
        <w:t>Change has already partnered with NASA on a project that will “correlate community experiences to space-based observations of atmospheric carbon dioxide levels,” an endeavor which will broaden researchers’ knowledge base of the effects of climate change, as well as allow people to give voice to the issues they are seeing play out on the ground.</w:t>
      </w:r>
    </w:p>
    <w:p w:rsidR="00D60598" w:rsidRDefault="00F13947" w:rsidP="00631235">
      <w:pPr>
        <w:spacing w:after="120" w:line="276" w:lineRule="auto"/>
        <w:rPr>
          <w:rFonts w:ascii="Arial" w:hAnsi="Arial" w:cs="Arial"/>
        </w:rPr>
      </w:pPr>
      <w:r>
        <w:rPr>
          <w:rFonts w:ascii="Arial" w:hAnsi="Arial" w:cs="Arial"/>
        </w:rPr>
        <w:t>Though ISee</w:t>
      </w:r>
      <w:r w:rsidR="00085129">
        <w:rPr>
          <w:rFonts w:ascii="Arial" w:hAnsi="Arial" w:cs="Arial"/>
        </w:rPr>
        <w:t xml:space="preserve">Change is adaptable to anywhere in the world, needing only an individual’s interest to get started, it has taken a particular interest in New Orleans, a city </w:t>
      </w:r>
      <w:r w:rsidR="00F50455">
        <w:rPr>
          <w:rFonts w:ascii="Arial" w:hAnsi="Arial" w:cs="Arial"/>
        </w:rPr>
        <w:t>uniquely</w:t>
      </w:r>
      <w:r w:rsidR="00085129">
        <w:rPr>
          <w:rFonts w:ascii="Arial" w:hAnsi="Arial" w:cs="Arial"/>
        </w:rPr>
        <w:t xml:space="preserve"> at risk o</w:t>
      </w:r>
      <w:r>
        <w:rPr>
          <w:rFonts w:ascii="Arial" w:hAnsi="Arial" w:cs="Arial"/>
        </w:rPr>
        <w:t>f being irreparably damaged by</w:t>
      </w:r>
      <w:r w:rsidR="00085129">
        <w:rPr>
          <w:rFonts w:ascii="Arial" w:hAnsi="Arial" w:cs="Arial"/>
        </w:rPr>
        <w:t xml:space="preserve"> the fallout from climate change (Schleifstein, 2018). </w:t>
      </w:r>
      <w:r w:rsidR="00F06F01">
        <w:rPr>
          <w:rFonts w:ascii="Arial" w:hAnsi="Arial" w:cs="Arial"/>
        </w:rPr>
        <w:t>The organization has issued a focused community call to action to ask residents of New Orleans to create a sustained and comprehensive record of weather</w:t>
      </w:r>
      <w:r>
        <w:rPr>
          <w:rFonts w:ascii="Arial" w:hAnsi="Arial" w:cs="Arial"/>
        </w:rPr>
        <w:t xml:space="preserve"> events</w:t>
      </w:r>
      <w:r w:rsidR="00F06F01">
        <w:rPr>
          <w:rFonts w:ascii="Arial" w:hAnsi="Arial" w:cs="Arial"/>
        </w:rPr>
        <w:t xml:space="preserve">, with the ultimate goal of presenting these findings to scientists, engineers, planners, journalists, and civic groups who are working to battle the harmful effects of climate change and </w:t>
      </w:r>
      <w:r>
        <w:rPr>
          <w:rFonts w:ascii="Arial" w:hAnsi="Arial" w:cs="Arial"/>
        </w:rPr>
        <w:t>encourage resilience in local infrastructure and society</w:t>
      </w:r>
      <w:r w:rsidR="00F06F01">
        <w:rPr>
          <w:rFonts w:ascii="Arial" w:hAnsi="Arial" w:cs="Arial"/>
        </w:rPr>
        <w:t>. This effort is particular</w:t>
      </w:r>
      <w:r w:rsidR="00AE0479">
        <w:rPr>
          <w:rFonts w:ascii="Arial" w:hAnsi="Arial" w:cs="Arial"/>
        </w:rPr>
        <w:t>ly important in New Orleans, which</w:t>
      </w:r>
      <w:r w:rsidR="00F06F01">
        <w:rPr>
          <w:rFonts w:ascii="Arial" w:hAnsi="Arial" w:cs="Arial"/>
        </w:rPr>
        <w:t xml:space="preserve"> recently has suffered cataclysmic storms, intense flooding, and residual sinking, all of which threaten the city’s future. </w:t>
      </w:r>
    </w:p>
    <w:p w:rsidR="00D60598" w:rsidRDefault="00D60598" w:rsidP="00631235">
      <w:pPr>
        <w:spacing w:after="120" w:line="276" w:lineRule="auto"/>
        <w:rPr>
          <w:rFonts w:ascii="Arial" w:hAnsi="Arial" w:cs="Arial"/>
        </w:rPr>
      </w:pPr>
      <w:r>
        <w:rPr>
          <w:rFonts w:ascii="Arial" w:hAnsi="Arial" w:cs="Arial"/>
        </w:rPr>
        <w:t xml:space="preserve">Interested New Orleans residents can </w:t>
      </w:r>
      <w:hyperlink r:id="rId46" w:history="1">
        <w:r w:rsidRPr="00890CBC">
          <w:rPr>
            <w:rStyle w:val="Hyperlink"/>
            <w:rFonts w:ascii="Arial" w:hAnsi="Arial" w:cs="Arial"/>
          </w:rPr>
          <w:t>sign up</w:t>
        </w:r>
      </w:hyperlink>
      <w:r w:rsidR="00F13947">
        <w:rPr>
          <w:rFonts w:ascii="Arial" w:hAnsi="Arial" w:cs="Arial"/>
        </w:rPr>
        <w:t xml:space="preserve"> with ISee</w:t>
      </w:r>
      <w:r w:rsidR="00890CBC">
        <w:rPr>
          <w:rFonts w:ascii="Arial" w:hAnsi="Arial" w:cs="Arial"/>
        </w:rPr>
        <w:t>Change to document</w:t>
      </w:r>
      <w:r>
        <w:rPr>
          <w:rFonts w:ascii="Arial" w:hAnsi="Arial" w:cs="Arial"/>
        </w:rPr>
        <w:t xml:space="preserve"> three particular areas: “Bugs that Bite,” “Storms and Flooding,” and “Extreme Heat.” By empowering local residents to report on what they se</w:t>
      </w:r>
      <w:r w:rsidR="00F13947">
        <w:rPr>
          <w:rFonts w:ascii="Arial" w:hAnsi="Arial" w:cs="Arial"/>
        </w:rPr>
        <w:t>e in their own neighborhoods, ISee</w:t>
      </w:r>
      <w:r>
        <w:rPr>
          <w:rFonts w:ascii="Arial" w:hAnsi="Arial" w:cs="Arial"/>
        </w:rPr>
        <w:t xml:space="preserve">Change hopes to present experts and officials with information on potential new diseases, dangerous weather patterns, and potential public health emergencies (for more information on </w:t>
      </w:r>
      <w:r w:rsidR="00890CBC">
        <w:rPr>
          <w:rFonts w:ascii="Arial" w:hAnsi="Arial" w:cs="Arial"/>
        </w:rPr>
        <w:t>heat waves,</w:t>
      </w:r>
      <w:r>
        <w:rPr>
          <w:rFonts w:ascii="Arial" w:hAnsi="Arial" w:cs="Arial"/>
        </w:rPr>
        <w:t xml:space="preserve"> see </w:t>
      </w:r>
      <w:hyperlink r:id="rId47" w:history="1">
        <w:r w:rsidRPr="00D60598">
          <w:rPr>
            <w:rStyle w:val="Hyperlink"/>
            <w:rFonts w:ascii="Arial" w:hAnsi="Arial" w:cs="Arial"/>
          </w:rPr>
          <w:t>SLS Case Study: The 1995 Chicago Heat Wave</w:t>
        </w:r>
      </w:hyperlink>
      <w:r>
        <w:rPr>
          <w:rFonts w:ascii="Arial" w:hAnsi="Arial" w:cs="Arial"/>
        </w:rPr>
        <w:t>).</w:t>
      </w:r>
      <w:r w:rsidR="00F13947">
        <w:rPr>
          <w:rFonts w:ascii="Arial" w:hAnsi="Arial" w:cs="Arial"/>
        </w:rPr>
        <w:t xml:space="preserve"> So far, ISee</w:t>
      </w:r>
      <w:r w:rsidR="002F6009">
        <w:rPr>
          <w:rFonts w:ascii="Arial" w:hAnsi="Arial" w:cs="Arial"/>
        </w:rPr>
        <w:t>Change has used the data collected from citizen scientists to publish investigations on street flooding, abnormal storm patterns, and lake algal blooms.</w:t>
      </w:r>
    </w:p>
    <w:p w:rsidR="00D60598" w:rsidRDefault="0020309A" w:rsidP="00631235">
      <w:pPr>
        <w:spacing w:after="120" w:line="276" w:lineRule="auto"/>
        <w:rPr>
          <w:rFonts w:ascii="Arial" w:hAnsi="Arial" w:cs="Arial"/>
        </w:rPr>
      </w:pPr>
      <w:r w:rsidRPr="0020309A">
        <w:rPr>
          <w:noProof/>
        </w:rPr>
        <w:pict>
          <v:shape id="_x0000_s1043" type="#_x0000_t202" style="position:absolute;margin-left:0;margin-top:104.75pt;width:182pt;height:26.5pt;z-index:251693056;mso-position-horizontal:absolute;mso-position-vertical:absolute" filled="f" stroked="f">
            <v:fill o:detectmouseclick="t"/>
            <v:textbox inset="0,0,0,0">
              <w:txbxContent>
                <w:p w:rsidR="001E1E61" w:rsidRPr="00972E1B" w:rsidRDefault="001E1E61" w:rsidP="00972E1B">
                  <w:pPr>
                    <w:pStyle w:val="Caption"/>
                    <w:rPr>
                      <w:rFonts w:ascii="Arial" w:hAnsi="Arial"/>
                      <w:b w:val="0"/>
                      <w:color w:val="auto"/>
                    </w:rPr>
                  </w:pPr>
                  <w:r w:rsidRPr="00972E1B">
                    <w:rPr>
                      <w:rFonts w:ascii="Arial" w:hAnsi="Arial"/>
                      <w:b w:val="0"/>
                      <w:color w:val="auto"/>
                    </w:rPr>
                    <w:t xml:space="preserve">Figure </w:t>
                  </w:r>
                  <w:r w:rsidR="0020309A" w:rsidRPr="00972E1B">
                    <w:rPr>
                      <w:rFonts w:ascii="Arial" w:hAnsi="Arial"/>
                      <w:b w:val="0"/>
                      <w:color w:val="auto"/>
                    </w:rPr>
                    <w:fldChar w:fldCharType="begin"/>
                  </w:r>
                  <w:r w:rsidRPr="00972E1B">
                    <w:rPr>
                      <w:rFonts w:ascii="Arial" w:hAnsi="Arial"/>
                      <w:b w:val="0"/>
                      <w:color w:val="auto"/>
                    </w:rPr>
                    <w:instrText xml:space="preserve"> SEQ Figure \* ARABIC </w:instrText>
                  </w:r>
                  <w:r w:rsidR="0020309A" w:rsidRPr="00972E1B">
                    <w:rPr>
                      <w:rFonts w:ascii="Arial" w:hAnsi="Arial"/>
                      <w:b w:val="0"/>
                      <w:color w:val="auto"/>
                    </w:rPr>
                    <w:fldChar w:fldCharType="separate"/>
                  </w:r>
                  <w:r w:rsidRPr="00972E1B">
                    <w:rPr>
                      <w:rFonts w:ascii="Arial" w:hAnsi="Arial"/>
                      <w:b w:val="0"/>
                      <w:noProof/>
                      <w:color w:val="auto"/>
                    </w:rPr>
                    <w:t>12</w:t>
                  </w:r>
                  <w:r w:rsidR="0020309A" w:rsidRPr="00972E1B">
                    <w:rPr>
                      <w:rFonts w:ascii="Arial" w:hAnsi="Arial"/>
                      <w:b w:val="0"/>
                      <w:color w:val="auto"/>
                    </w:rPr>
                    <w:fldChar w:fldCharType="end"/>
                  </w:r>
                  <w:r w:rsidRPr="00972E1B">
                    <w:rPr>
                      <w:rFonts w:ascii="Arial" w:hAnsi="Arial"/>
                      <w:b w:val="0"/>
                      <w:color w:val="auto"/>
                    </w:rPr>
                    <w:t>, Street Flooding in New Orleans, iseechange.org</w:t>
                  </w:r>
                </w:p>
              </w:txbxContent>
            </v:textbox>
            <w10:wrap type="square"/>
          </v:shape>
        </w:pict>
      </w:r>
      <w:r w:rsidR="00972E1B">
        <w:rPr>
          <w:rFonts w:ascii="Arial" w:hAnsi="Arial" w:cs="Arial"/>
          <w:noProof/>
        </w:rPr>
        <w:drawing>
          <wp:anchor distT="0" distB="0" distL="114300" distR="114300" simplePos="0" relativeHeight="251691008" behindDoc="0" locked="0" layoutInCell="1" allowOverlap="1">
            <wp:simplePos x="0" y="0"/>
            <wp:positionH relativeFrom="column">
              <wp:posOffset>0</wp:posOffset>
            </wp:positionH>
            <wp:positionV relativeFrom="paragraph">
              <wp:posOffset>66675</wp:posOffset>
            </wp:positionV>
            <wp:extent cx="2311400" cy="1206500"/>
            <wp:effectExtent l="25400" t="0" r="0" b="0"/>
            <wp:wrapSquare wrapText="bothSides"/>
            <wp:docPr id="35" name="Picture 14" descr="Macintosh HD:Users:mollyslavin:Desktop:n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cintosh HD:Users:mollyslavin:Desktop:nola.jpg"/>
                    <pic:cNvPicPr>
                      <a:picLocks noChangeAspect="1" noChangeArrowheads="1"/>
                    </pic:cNvPicPr>
                  </pic:nvPicPr>
                  <pic:blipFill>
                    <a:blip r:embed="rId48"/>
                    <a:srcRect/>
                    <a:stretch>
                      <a:fillRect/>
                    </a:stretch>
                  </pic:blipFill>
                  <pic:spPr bwMode="auto">
                    <a:xfrm>
                      <a:off x="0" y="0"/>
                      <a:ext cx="2311400" cy="1206500"/>
                    </a:xfrm>
                    <a:prstGeom prst="rect">
                      <a:avLst/>
                    </a:prstGeom>
                    <a:noFill/>
                    <a:ln w="9525">
                      <a:noFill/>
                      <a:miter lim="800000"/>
                      <a:headEnd/>
                      <a:tailEnd/>
                    </a:ln>
                  </pic:spPr>
                </pic:pic>
              </a:graphicData>
            </a:graphic>
          </wp:anchor>
        </w:drawing>
      </w:r>
      <w:r w:rsidR="00F13947">
        <w:rPr>
          <w:rFonts w:ascii="Arial" w:hAnsi="Arial" w:cs="Arial"/>
        </w:rPr>
        <w:t>Data reported by ISee</w:t>
      </w:r>
      <w:r w:rsidR="00D60598">
        <w:rPr>
          <w:rFonts w:ascii="Arial" w:hAnsi="Arial" w:cs="Arial"/>
        </w:rPr>
        <w:t xml:space="preserve">Change users is collated and turned into reports and </w:t>
      </w:r>
      <w:hyperlink r:id="rId49" w:history="1">
        <w:r w:rsidR="00D60598" w:rsidRPr="00D60598">
          <w:rPr>
            <w:rStyle w:val="Hyperlink"/>
            <w:rFonts w:ascii="Arial" w:hAnsi="Arial" w:cs="Arial"/>
          </w:rPr>
          <w:t>stories</w:t>
        </w:r>
      </w:hyperlink>
      <w:r w:rsidR="00D60598">
        <w:rPr>
          <w:rFonts w:ascii="Arial" w:hAnsi="Arial" w:cs="Arial"/>
        </w:rPr>
        <w:t xml:space="preserve"> about how observed trends fit into larger patterns reported on by scientists and researchers. A targeted focus on New Orleans in particular will hopefully result in enough evidence to be able to prevent some of the worst long-term effects of climate change from permanently destroying one of America’s greatest cities. Empowering residents and paying special attention to the needs of New Orleans residents is part of an ongoing project to account for social context in the long-term project of planning for and adapting to climate effects and events. </w:t>
      </w:r>
    </w:p>
    <w:p w:rsidR="00D60598" w:rsidRPr="00E37202" w:rsidRDefault="00D60598" w:rsidP="00D60598">
      <w:pPr>
        <w:spacing w:after="120" w:line="276" w:lineRule="auto"/>
        <w:ind w:left="720" w:hanging="720"/>
        <w:rPr>
          <w:rFonts w:ascii="Arial" w:hAnsi="Arial" w:cs="Arial"/>
          <w:b/>
        </w:rPr>
      </w:pPr>
      <w:r w:rsidRPr="00E37202">
        <w:rPr>
          <w:rFonts w:ascii="Arial" w:hAnsi="Arial" w:cs="Arial"/>
          <w:b/>
        </w:rPr>
        <w:t>Works Cited</w:t>
      </w:r>
    </w:p>
    <w:p w:rsidR="009B4217" w:rsidRDefault="009B4217" w:rsidP="00D23BE8">
      <w:pPr>
        <w:rPr>
          <w:rFonts w:ascii="Arial" w:hAnsi="Arial" w:cs="Arial"/>
        </w:rPr>
      </w:pPr>
      <w:r>
        <w:rPr>
          <w:rFonts w:ascii="Arial" w:hAnsi="Arial" w:cs="Arial"/>
        </w:rPr>
        <w:t xml:space="preserve">Bryan, William. (2016). </w:t>
      </w:r>
      <w:hyperlink r:id="rId50" w:history="1">
        <w:r w:rsidR="00F13947" w:rsidRPr="00F13947">
          <w:rPr>
            <w:rStyle w:val="Hyperlink"/>
            <w:rFonts w:ascii="Arial" w:hAnsi="Arial" w:cs="Arial"/>
          </w:rPr>
          <w:t>ISeeChange</w:t>
        </w:r>
      </w:hyperlink>
      <w:r w:rsidR="00F13947">
        <w:rPr>
          <w:rFonts w:ascii="Arial" w:hAnsi="Arial" w:cs="Arial"/>
        </w:rPr>
        <w:t>.</w:t>
      </w:r>
      <w:r>
        <w:rPr>
          <w:rFonts w:ascii="Arial" w:hAnsi="Arial" w:cs="Arial"/>
        </w:rPr>
        <w:t xml:space="preserve"> NASA.</w:t>
      </w:r>
    </w:p>
    <w:p w:rsidR="009B4217" w:rsidRDefault="009B4217" w:rsidP="00D23BE8">
      <w:pPr>
        <w:rPr>
          <w:rFonts w:ascii="Arial" w:hAnsi="Arial" w:cs="Arial"/>
        </w:rPr>
      </w:pPr>
    </w:p>
    <w:p w:rsidR="00890CBC" w:rsidRDefault="00D60598" w:rsidP="0081320A">
      <w:r>
        <w:rPr>
          <w:rFonts w:ascii="Arial" w:hAnsi="Arial" w:cs="Arial"/>
        </w:rPr>
        <w:t>Schleifstein, Mark</w:t>
      </w:r>
      <w:r w:rsidRPr="004A5EEB">
        <w:rPr>
          <w:rFonts w:ascii="Arial" w:hAnsi="Arial" w:cs="Arial"/>
        </w:rPr>
        <w:t xml:space="preserve"> </w:t>
      </w:r>
      <w:r w:rsidR="002F549C">
        <w:rPr>
          <w:rFonts w:ascii="Arial" w:hAnsi="Arial" w:cs="Arial"/>
        </w:rPr>
        <w:t>(2016</w:t>
      </w:r>
      <w:r>
        <w:rPr>
          <w:rFonts w:ascii="Arial" w:hAnsi="Arial" w:cs="Arial"/>
        </w:rPr>
        <w:t xml:space="preserve">). </w:t>
      </w:r>
      <w:hyperlink r:id="rId51" w:history="1">
        <w:r w:rsidRPr="002F549C">
          <w:rPr>
            <w:rStyle w:val="Hyperlink"/>
            <w:rFonts w:ascii="Arial" w:hAnsi="Arial" w:cs="Arial"/>
          </w:rPr>
          <w:t>Climate Report: Louisiana, Southeast at Exception</w:t>
        </w:r>
        <w:r w:rsidR="002F549C" w:rsidRPr="002F549C">
          <w:rPr>
            <w:rStyle w:val="Hyperlink"/>
            <w:rFonts w:ascii="Arial" w:hAnsi="Arial" w:cs="Arial"/>
          </w:rPr>
          <w:t>al Risk Through End of Century</w:t>
        </w:r>
      </w:hyperlink>
      <w:r w:rsidR="002F549C">
        <w:rPr>
          <w:rFonts w:ascii="Arial" w:hAnsi="Arial" w:cs="Arial"/>
        </w:rPr>
        <w:t>.</w:t>
      </w:r>
      <w:r w:rsidRPr="00D23BE8">
        <w:rPr>
          <w:rFonts w:ascii="Arial" w:hAnsi="Arial" w:cs="Arial"/>
        </w:rPr>
        <w:t> </w:t>
      </w:r>
      <w:r w:rsidR="00D23BE8" w:rsidRPr="00D23BE8">
        <w:rPr>
          <w:rFonts w:ascii="Arial" w:hAnsi="Arial" w:cs="Arial"/>
          <w:i/>
          <w:iCs/>
        </w:rPr>
        <w:t>NOLA.com</w:t>
      </w:r>
      <w:r w:rsidRPr="00D23BE8">
        <w:rPr>
          <w:rFonts w:ascii="Arial" w:hAnsi="Arial" w:cs="Arial"/>
        </w:rPr>
        <w:t xml:space="preserve">. </w:t>
      </w:r>
    </w:p>
    <w:p w:rsidR="000E328B" w:rsidRDefault="000E328B" w:rsidP="00890CBC">
      <w:pPr>
        <w:ind w:left="720" w:hanging="720"/>
      </w:pPr>
    </w:p>
    <w:p w:rsidR="000E328B" w:rsidRDefault="000E328B" w:rsidP="00890CBC">
      <w:pPr>
        <w:ind w:left="720" w:hanging="720"/>
      </w:pPr>
    </w:p>
    <w:p w:rsidR="000E328B" w:rsidRDefault="000E328B" w:rsidP="00890CBC">
      <w:pPr>
        <w:ind w:left="720" w:hanging="720"/>
      </w:pPr>
    </w:p>
    <w:p w:rsidR="000E328B" w:rsidRDefault="000E328B" w:rsidP="00890CBC">
      <w:pPr>
        <w:ind w:left="720" w:hanging="720"/>
      </w:pPr>
    </w:p>
    <w:p w:rsidR="000E328B" w:rsidRDefault="000E328B" w:rsidP="00890CBC">
      <w:pPr>
        <w:ind w:left="720" w:hanging="720"/>
      </w:pPr>
    </w:p>
    <w:p w:rsidR="000E328B" w:rsidRDefault="000E328B" w:rsidP="00890CBC">
      <w:pPr>
        <w:ind w:left="720" w:hanging="720"/>
      </w:pPr>
    </w:p>
    <w:p w:rsidR="000E328B" w:rsidRDefault="000E328B" w:rsidP="00890CBC">
      <w:pPr>
        <w:ind w:left="720" w:hanging="720"/>
      </w:pPr>
    </w:p>
    <w:p w:rsidR="000E328B" w:rsidRDefault="000E328B" w:rsidP="00890CBC">
      <w:pPr>
        <w:ind w:left="720" w:hanging="720"/>
      </w:pPr>
    </w:p>
    <w:p w:rsidR="000E328B" w:rsidRDefault="000E328B" w:rsidP="00890CBC">
      <w:pPr>
        <w:ind w:left="720" w:hanging="720"/>
      </w:pPr>
    </w:p>
    <w:p w:rsidR="000E328B" w:rsidRDefault="000E328B" w:rsidP="00890CBC">
      <w:pPr>
        <w:ind w:left="720" w:hanging="720"/>
      </w:pPr>
    </w:p>
    <w:p w:rsidR="000E328B" w:rsidRDefault="000E328B" w:rsidP="00890CBC">
      <w:pPr>
        <w:ind w:left="720" w:hanging="720"/>
      </w:pPr>
    </w:p>
    <w:p w:rsidR="000E328B" w:rsidRDefault="000E328B" w:rsidP="00890CBC">
      <w:pPr>
        <w:ind w:left="720" w:hanging="720"/>
      </w:pPr>
    </w:p>
    <w:p w:rsidR="000E328B" w:rsidRDefault="000E328B" w:rsidP="00890CBC">
      <w:pPr>
        <w:ind w:left="720" w:hanging="720"/>
      </w:pPr>
    </w:p>
    <w:p w:rsidR="000E328B" w:rsidRDefault="000E328B" w:rsidP="00890CBC">
      <w:pPr>
        <w:ind w:left="720" w:hanging="720"/>
      </w:pPr>
    </w:p>
    <w:p w:rsidR="000E328B" w:rsidRDefault="000E328B" w:rsidP="00890CBC">
      <w:pPr>
        <w:ind w:left="720" w:hanging="720"/>
      </w:pPr>
    </w:p>
    <w:p w:rsidR="000E328B" w:rsidRDefault="000E328B" w:rsidP="00890CBC">
      <w:pPr>
        <w:ind w:left="720" w:hanging="720"/>
      </w:pPr>
    </w:p>
    <w:p w:rsidR="000E328B" w:rsidRDefault="000E328B" w:rsidP="00890CBC">
      <w:pPr>
        <w:ind w:left="720" w:hanging="720"/>
      </w:pPr>
    </w:p>
    <w:p w:rsidR="000E328B" w:rsidRDefault="000E328B" w:rsidP="00890CBC">
      <w:pPr>
        <w:ind w:left="720" w:hanging="720"/>
      </w:pPr>
    </w:p>
    <w:p w:rsidR="000E328B" w:rsidRDefault="000E328B" w:rsidP="00890CBC">
      <w:pPr>
        <w:ind w:left="720" w:hanging="720"/>
      </w:pPr>
    </w:p>
    <w:p w:rsidR="000E328B" w:rsidRDefault="000E328B" w:rsidP="00890CBC">
      <w:pPr>
        <w:ind w:left="720" w:hanging="720"/>
      </w:pPr>
    </w:p>
    <w:p w:rsidR="000E328B" w:rsidRDefault="000E328B" w:rsidP="00890CBC">
      <w:pPr>
        <w:ind w:left="720" w:hanging="720"/>
      </w:pPr>
    </w:p>
    <w:p w:rsidR="000E328B" w:rsidRDefault="000E328B" w:rsidP="00890CBC">
      <w:pPr>
        <w:ind w:left="720" w:hanging="720"/>
      </w:pPr>
    </w:p>
    <w:p w:rsidR="000E328B" w:rsidRDefault="000E328B" w:rsidP="00890CBC">
      <w:pPr>
        <w:ind w:left="720" w:hanging="720"/>
      </w:pPr>
    </w:p>
    <w:p w:rsidR="000E328B" w:rsidRDefault="000E328B" w:rsidP="00890CBC">
      <w:pPr>
        <w:ind w:left="720" w:hanging="720"/>
      </w:pPr>
    </w:p>
    <w:p w:rsidR="001C1E35" w:rsidRPr="00890CBC" w:rsidRDefault="001C1E35" w:rsidP="00890CBC">
      <w:pPr>
        <w:ind w:left="720" w:hanging="720"/>
      </w:pPr>
    </w:p>
    <w:p w:rsidR="001C1E35" w:rsidRPr="00917C5B" w:rsidRDefault="001C1E35" w:rsidP="001C1E35">
      <w:pPr>
        <w:pBdr>
          <w:bottom w:val="single" w:sz="4" w:space="1" w:color="auto"/>
        </w:pBdr>
        <w:tabs>
          <w:tab w:val="left" w:pos="6552"/>
        </w:tabs>
        <w:spacing w:before="360" w:after="360"/>
        <w:rPr>
          <w:rFonts w:ascii="Georgia" w:hAnsi="Georgia"/>
          <w:bCs/>
          <w:sz w:val="40"/>
          <w:szCs w:val="40"/>
        </w:rPr>
      </w:pPr>
      <w:r w:rsidRPr="005C3F84">
        <w:rPr>
          <w:rFonts w:ascii="Georgia" w:hAnsi="Georgia"/>
          <w:bCs/>
          <w:sz w:val="40"/>
          <w:szCs w:val="40"/>
        </w:rPr>
        <w:t xml:space="preserve">SLS Student Learning Outcomes </w:t>
      </w:r>
      <w:bookmarkStart w:id="4" w:name="_Hlk511745906"/>
      <w:r>
        <w:rPr>
          <w:rFonts w:ascii="Georgia" w:hAnsi="Georgia"/>
          <w:bCs/>
          <w:sz w:val="40"/>
          <w:szCs w:val="40"/>
        </w:rPr>
        <w:tab/>
      </w:r>
    </w:p>
    <w:p w:rsidR="001C1E35" w:rsidRPr="005C3F84" w:rsidRDefault="001C1E35" w:rsidP="001C1E35">
      <w:pPr>
        <w:numPr>
          <w:ilvl w:val="0"/>
          <w:numId w:val="15"/>
        </w:numPr>
        <w:spacing w:after="120"/>
        <w:rPr>
          <w:rFonts w:ascii="Arial" w:eastAsia="Calibri" w:hAnsi="Arial" w:cs="Arial"/>
        </w:rPr>
      </w:pPr>
      <w:r w:rsidRPr="005C3F84">
        <w:rPr>
          <w:rFonts w:ascii="Arial" w:eastAsia="Calibri" w:hAnsi="Arial" w:cs="Arial"/>
        </w:rPr>
        <w:t>Identify relationships among ecological, social, and economic systems.</w:t>
      </w:r>
    </w:p>
    <w:p w:rsidR="001C1E35" w:rsidRPr="005C3F84" w:rsidRDefault="001C1E35" w:rsidP="001C1E35">
      <w:pPr>
        <w:numPr>
          <w:ilvl w:val="0"/>
          <w:numId w:val="15"/>
        </w:numPr>
        <w:spacing w:after="120"/>
        <w:rPr>
          <w:rFonts w:ascii="Arial" w:eastAsia="Calibri" w:hAnsi="Arial" w:cs="Arial"/>
        </w:rPr>
      </w:pPr>
      <w:r w:rsidRPr="005C3F84">
        <w:rPr>
          <w:rFonts w:ascii="Arial" w:eastAsia="Calibri" w:hAnsi="Arial" w:cs="Arial"/>
        </w:rPr>
        <w:t>Demonstrate skills needed to work effectively in different types of communities.</w:t>
      </w:r>
    </w:p>
    <w:p w:rsidR="001C1E35" w:rsidRPr="005C3F84" w:rsidRDefault="001C1E35" w:rsidP="001C1E35">
      <w:pPr>
        <w:numPr>
          <w:ilvl w:val="0"/>
          <w:numId w:val="15"/>
        </w:numPr>
        <w:spacing w:after="120"/>
        <w:rPr>
          <w:rFonts w:ascii="Arial" w:eastAsia="Calibri" w:hAnsi="Arial" w:cs="Arial"/>
        </w:rPr>
      </w:pPr>
      <w:r w:rsidRPr="005C3F84">
        <w:rPr>
          <w:rFonts w:ascii="Arial" w:eastAsia="Calibri" w:hAnsi="Arial" w:cs="Arial"/>
        </w:rPr>
        <w:t>Evaluate how decisions impact the sustainability of communities.</w:t>
      </w:r>
    </w:p>
    <w:bookmarkEnd w:id="4"/>
    <w:p w:rsidR="001C1E35" w:rsidRDefault="001C1E35" w:rsidP="001C1E35">
      <w:pPr>
        <w:numPr>
          <w:ilvl w:val="0"/>
          <w:numId w:val="15"/>
        </w:numPr>
        <w:spacing w:after="120"/>
        <w:rPr>
          <w:rFonts w:ascii="Arial" w:hAnsi="Arial" w:cs="Arial"/>
        </w:rPr>
      </w:pPr>
      <w:r w:rsidRPr="00780770">
        <w:rPr>
          <w:rFonts w:ascii="Arial" w:hAnsi="Arial" w:cs="Arial"/>
        </w:rPr>
        <w:t xml:space="preserve">Describe how to use their discipline to make communities more </w:t>
      </w:r>
      <w:r w:rsidR="000D70FE" w:rsidRPr="00780770">
        <w:rPr>
          <w:rFonts w:ascii="Arial" w:hAnsi="Arial" w:cs="Arial"/>
        </w:rPr>
        <w:t>sustainable.</w:t>
      </w:r>
      <w:r w:rsidR="000D70FE">
        <w:rPr>
          <w:rFonts w:ascii="Arial" w:hAnsi="Arial" w:cs="Arial"/>
        </w:rPr>
        <w:t xml:space="preserve"> *</w:t>
      </w:r>
      <w:r>
        <w:rPr>
          <w:rFonts w:ascii="Arial" w:hAnsi="Arial" w:cs="Arial"/>
        </w:rPr>
        <w:br/>
      </w:r>
    </w:p>
    <w:p w:rsidR="001C1E35" w:rsidRPr="00865966" w:rsidRDefault="001C1E35" w:rsidP="001C1E35">
      <w:pPr>
        <w:spacing w:after="120"/>
        <w:rPr>
          <w:rFonts w:ascii="Arial" w:hAnsi="Arial" w:cs="Arial"/>
          <w:sz w:val="22"/>
          <w:szCs w:val="22"/>
        </w:rPr>
      </w:pPr>
      <w:r w:rsidRPr="00865966">
        <w:rPr>
          <w:rFonts w:ascii="Arial" w:hAnsi="Arial" w:cs="Arial"/>
          <w:sz w:val="22"/>
          <w:szCs w:val="22"/>
        </w:rPr>
        <w:t xml:space="preserve">* </w:t>
      </w:r>
      <w:r w:rsidRPr="00865966">
        <w:rPr>
          <w:rFonts w:ascii="Arial" w:hAnsi="Arial" w:cs="Arial"/>
          <w:i/>
          <w:iCs/>
          <w:sz w:val="22"/>
          <w:szCs w:val="22"/>
        </w:rPr>
        <w:t xml:space="preserve">Note: </w:t>
      </w:r>
      <w:r w:rsidRPr="00865966">
        <w:rPr>
          <w:rFonts w:ascii="Arial" w:hAnsi="Arial" w:cs="Arial"/>
          <w:sz w:val="22"/>
          <w:szCs w:val="22"/>
        </w:rPr>
        <w:t>SLO 4 is intended to be used by upper division, project-based courses such as Capstone.</w:t>
      </w:r>
    </w:p>
    <w:p w:rsidR="001C1E35" w:rsidRPr="00044A9C" w:rsidRDefault="001C1E35" w:rsidP="00F84990">
      <w:pPr>
        <w:spacing w:after="120" w:line="276" w:lineRule="auto"/>
        <w:ind w:left="720" w:hanging="720"/>
        <w:rPr>
          <w:rFonts w:ascii="Arial" w:hAnsi="Arial" w:cs="Arial"/>
        </w:rPr>
      </w:pPr>
    </w:p>
    <w:sectPr w:rsidR="001C1E35" w:rsidRPr="00044A9C" w:rsidSect="00A75490">
      <w:headerReference w:type="default" r:id="rId52"/>
      <w:footerReference w:type="default" r:id="rId53"/>
      <w:footerReference w:type="first" r:id="rId54"/>
      <w:pgSz w:w="12240" w:h="15840"/>
      <w:pgMar w:top="1440" w:right="1440" w:bottom="1440" w:left="1440"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E61" w:rsidRDefault="001E1E61" w:rsidP="00AB2976">
      <w:r>
        <w:separator/>
      </w:r>
    </w:p>
  </w:endnote>
  <w:endnote w:type="continuationSeparator" w:id="0">
    <w:p w:rsidR="001E1E61" w:rsidRDefault="001E1E61" w:rsidP="00AB2976">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Light">
    <w:panose1 w:val="020F0302020204030204"/>
    <w:charset w:val="00"/>
    <w:family w:val="auto"/>
    <w:pitch w:val="variable"/>
    <w:sig w:usb0="00000003" w:usb1="00000000" w:usb2="00000000" w:usb3="00000000" w:csb0="00000001" w:csb1="00000000"/>
  </w:font>
  <w:font w:name="Segoe UI">
    <w:altName w:val="Cambria"/>
    <w:charset w:val="00"/>
    <w:family w:val="swiss"/>
    <w:pitch w:val="variable"/>
    <w:sig w:usb0="E4002EFF" w:usb1="C000E47F" w:usb2="00000009" w:usb3="00000000" w:csb0="000001FF" w:csb1="00000000"/>
  </w:font>
  <w:font w:name="Lucida Grande">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E61" w:rsidRPr="00A72394" w:rsidRDefault="0020309A">
    <w:pPr>
      <w:pStyle w:val="Footer"/>
      <w:rPr>
        <w:rFonts w:ascii="Arial" w:hAnsi="Arial" w:cs="Arial"/>
        <w:noProof/>
        <w:sz w:val="20"/>
        <w:szCs w:val="20"/>
      </w:rPr>
    </w:pPr>
    <w:hyperlink r:id="rId1" w:history="1">
      <w:r w:rsidR="001E1E61" w:rsidRPr="00A72394">
        <w:rPr>
          <w:rStyle w:val="Hyperlink"/>
          <w:rFonts w:ascii="Arial" w:hAnsi="Arial" w:cs="Arial"/>
          <w:color w:val="auto"/>
          <w:sz w:val="20"/>
          <w:szCs w:val="20"/>
          <w:u w:val="none"/>
        </w:rPr>
        <w:t>http://serve-learn-sustain.gatech.edu/teaching-toolkit</w:t>
      </w:r>
    </w:hyperlink>
    <w:r w:rsidR="001E1E61" w:rsidRPr="00A72394">
      <w:rPr>
        <w:rFonts w:ascii="Arial" w:hAnsi="Arial" w:cs="Arial"/>
        <w:sz w:val="20"/>
        <w:szCs w:val="20"/>
      </w:rPr>
      <w:t xml:space="preserve"> </w:t>
    </w:r>
    <w:r w:rsidR="001E1E61" w:rsidRPr="00A72394">
      <w:rPr>
        <w:rFonts w:ascii="Arial" w:hAnsi="Arial" w:cs="Arial"/>
        <w:sz w:val="20"/>
        <w:szCs w:val="20"/>
      </w:rPr>
      <w:tab/>
    </w:r>
    <w:fldSimple w:instr=" PAGE   \* MERGEFORMAT ">
      <w:r w:rsidR="00C7650A" w:rsidRPr="00C7650A">
        <w:rPr>
          <w:rFonts w:ascii="Arial" w:hAnsi="Arial" w:cs="Arial"/>
          <w:noProof/>
          <w:sz w:val="20"/>
          <w:szCs w:val="20"/>
        </w:rPr>
        <w:t>20</w:t>
      </w:r>
    </w:fldSimple>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E61" w:rsidRPr="00A75490" w:rsidRDefault="0020309A">
    <w:pPr>
      <w:pStyle w:val="Footer"/>
      <w:rPr>
        <w:rFonts w:ascii="Arial" w:hAnsi="Arial" w:cs="Arial"/>
        <w:noProof/>
        <w:sz w:val="22"/>
        <w:szCs w:val="22"/>
      </w:rPr>
    </w:pPr>
    <w:hyperlink r:id="rId1" w:history="1">
      <w:r w:rsidR="001E1E61" w:rsidRPr="00A75490">
        <w:rPr>
          <w:rStyle w:val="Hyperlink"/>
          <w:rFonts w:ascii="Arial" w:hAnsi="Arial" w:cs="Arial"/>
          <w:sz w:val="22"/>
          <w:szCs w:val="22"/>
        </w:rPr>
        <w:t>http://serve-learn-sustain.gatech.edu/teaching-toolkit</w:t>
      </w:r>
    </w:hyperlink>
    <w:r w:rsidR="001E1E61" w:rsidRPr="00A75490">
      <w:rPr>
        <w:rFonts w:ascii="Arial" w:hAnsi="Arial" w:cs="Arial"/>
        <w:sz w:val="22"/>
        <w:szCs w:val="22"/>
      </w:rPr>
      <w:t xml:space="preserve"> </w:t>
    </w:r>
    <w:r w:rsidR="001E1E61" w:rsidRPr="00A75490">
      <w:rPr>
        <w:rFonts w:ascii="Arial" w:hAnsi="Arial" w:cs="Arial"/>
        <w:sz w:val="22"/>
        <w:szCs w:val="22"/>
      </w:rPr>
      <w:tab/>
    </w:r>
    <w:fldSimple w:instr=" PAGE   \* MERGEFORMAT ">
      <w:r w:rsidR="00C7650A" w:rsidRPr="00C7650A">
        <w:rPr>
          <w:rFonts w:ascii="Arial" w:hAnsi="Arial" w:cs="Arial"/>
          <w:noProof/>
          <w:sz w:val="22"/>
          <w:szCs w:val="22"/>
        </w:rPr>
        <w:t>1</w:t>
      </w:r>
    </w:fldSimple>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E61" w:rsidRDefault="001E1E61" w:rsidP="00AB2976">
      <w:r>
        <w:separator/>
      </w:r>
    </w:p>
  </w:footnote>
  <w:footnote w:type="continuationSeparator" w:id="0">
    <w:p w:rsidR="001E1E61" w:rsidRDefault="001E1E61" w:rsidP="00AB2976">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E61" w:rsidRDefault="001E1E61" w:rsidP="00A75490">
    <w:pPr>
      <w:pStyle w:val="Header"/>
      <w:jc w:val="right"/>
    </w:pPr>
    <w:r>
      <w:rPr>
        <w:noProof/>
      </w:rPr>
      <w:drawing>
        <wp:inline distT="0" distB="0" distL="0" distR="0">
          <wp:extent cx="4817110" cy="37209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Footer_01-2.jpg"/>
                  <pic:cNvPicPr/>
                </pic:nvPicPr>
                <pic:blipFill>
                  <a:blip r:embed="rId1">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907584" cy="379079"/>
                  </a:xfrm>
                  <a:prstGeom prst="rect">
                    <a:avLst/>
                  </a:prstGeom>
                </pic:spPr>
              </pic:pic>
            </a:graphicData>
          </a:graphic>
        </wp:inline>
      </w:drawing>
    </w:r>
  </w:p>
  <w:p w:rsidR="001E1E61" w:rsidRDefault="001E1E61" w:rsidP="00A75490">
    <w:pPr>
      <w:pStyle w:val="Header"/>
      <w:jc w:val="right"/>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52CBC"/>
    <w:multiLevelType w:val="hybridMultilevel"/>
    <w:tmpl w:val="45DA3774"/>
    <w:lvl w:ilvl="0" w:tplc="8EE8DA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FA27BB"/>
    <w:multiLevelType w:val="hybridMultilevel"/>
    <w:tmpl w:val="F51CD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A5743F"/>
    <w:multiLevelType w:val="hybridMultilevel"/>
    <w:tmpl w:val="AF88869C"/>
    <w:lvl w:ilvl="0" w:tplc="5496577A">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DD4BBA"/>
    <w:multiLevelType w:val="hybridMultilevel"/>
    <w:tmpl w:val="EBF81A32"/>
    <w:lvl w:ilvl="0" w:tplc="E4C6FE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7B29CA"/>
    <w:multiLevelType w:val="hybridMultilevel"/>
    <w:tmpl w:val="DC98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517B31"/>
    <w:multiLevelType w:val="hybridMultilevel"/>
    <w:tmpl w:val="0EEAA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1C57E1"/>
    <w:multiLevelType w:val="hybridMultilevel"/>
    <w:tmpl w:val="FC282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610EED"/>
    <w:multiLevelType w:val="hybridMultilevel"/>
    <w:tmpl w:val="FC282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8E063E"/>
    <w:multiLevelType w:val="hybridMultilevel"/>
    <w:tmpl w:val="381E4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C21344"/>
    <w:multiLevelType w:val="hybridMultilevel"/>
    <w:tmpl w:val="B74C9450"/>
    <w:lvl w:ilvl="0" w:tplc="5496577A">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4441C5"/>
    <w:multiLevelType w:val="hybridMultilevel"/>
    <w:tmpl w:val="FC282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073B09"/>
    <w:multiLevelType w:val="hybridMultilevel"/>
    <w:tmpl w:val="0EEAA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5C09B9"/>
    <w:multiLevelType w:val="hybridMultilevel"/>
    <w:tmpl w:val="6C6C04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F73EE9"/>
    <w:multiLevelType w:val="hybridMultilevel"/>
    <w:tmpl w:val="45F08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034FE4"/>
    <w:multiLevelType w:val="hybridMultilevel"/>
    <w:tmpl w:val="FC282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F2004C"/>
    <w:multiLevelType w:val="hybridMultilevel"/>
    <w:tmpl w:val="FF644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F7280E"/>
    <w:multiLevelType w:val="hybridMultilevel"/>
    <w:tmpl w:val="79BA6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860AB3"/>
    <w:multiLevelType w:val="hybridMultilevel"/>
    <w:tmpl w:val="FC282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14421D"/>
    <w:multiLevelType w:val="hybridMultilevel"/>
    <w:tmpl w:val="8166B266"/>
    <w:lvl w:ilvl="0" w:tplc="17A68534">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0"/>
  </w:num>
  <w:num w:numId="3">
    <w:abstractNumId w:val="13"/>
  </w:num>
  <w:num w:numId="4">
    <w:abstractNumId w:val="1"/>
  </w:num>
  <w:num w:numId="5">
    <w:abstractNumId w:val="8"/>
  </w:num>
  <w:num w:numId="6">
    <w:abstractNumId w:val="4"/>
  </w:num>
  <w:num w:numId="7">
    <w:abstractNumId w:val="15"/>
  </w:num>
  <w:num w:numId="8">
    <w:abstractNumId w:val="16"/>
  </w:num>
  <w:num w:numId="9">
    <w:abstractNumId w:val="11"/>
  </w:num>
  <w:num w:numId="10">
    <w:abstractNumId w:val="12"/>
  </w:num>
  <w:num w:numId="11">
    <w:abstractNumId w:val="9"/>
  </w:num>
  <w:num w:numId="12">
    <w:abstractNumId w:val="2"/>
  </w:num>
  <w:num w:numId="13">
    <w:abstractNumId w:val="5"/>
  </w:num>
  <w:num w:numId="14">
    <w:abstractNumId w:val="10"/>
  </w:num>
  <w:num w:numId="15">
    <w:abstractNumId w:val="3"/>
  </w:num>
  <w:num w:numId="16">
    <w:abstractNumId w:val="7"/>
  </w:num>
  <w:num w:numId="17">
    <w:abstractNumId w:val="14"/>
  </w:num>
  <w:num w:numId="18">
    <w:abstractNumId w:val="6"/>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A35291"/>
    <w:rsid w:val="0000455E"/>
    <w:rsid w:val="000066D5"/>
    <w:rsid w:val="0001037D"/>
    <w:rsid w:val="00026E9A"/>
    <w:rsid w:val="00044A9C"/>
    <w:rsid w:val="00052044"/>
    <w:rsid w:val="00056A17"/>
    <w:rsid w:val="000603F9"/>
    <w:rsid w:val="000665E7"/>
    <w:rsid w:val="00077113"/>
    <w:rsid w:val="00083269"/>
    <w:rsid w:val="00083B19"/>
    <w:rsid w:val="00085129"/>
    <w:rsid w:val="000A3D98"/>
    <w:rsid w:val="000B599F"/>
    <w:rsid w:val="000B70D5"/>
    <w:rsid w:val="000B78B1"/>
    <w:rsid w:val="000C0F60"/>
    <w:rsid w:val="000C4E31"/>
    <w:rsid w:val="000D521F"/>
    <w:rsid w:val="000D70FE"/>
    <w:rsid w:val="000E328B"/>
    <w:rsid w:val="000F284D"/>
    <w:rsid w:val="000F6150"/>
    <w:rsid w:val="000F65E4"/>
    <w:rsid w:val="0010141B"/>
    <w:rsid w:val="00101DCE"/>
    <w:rsid w:val="00113D3D"/>
    <w:rsid w:val="0011511C"/>
    <w:rsid w:val="001231D2"/>
    <w:rsid w:val="001257E5"/>
    <w:rsid w:val="001350BF"/>
    <w:rsid w:val="0013660C"/>
    <w:rsid w:val="001378F3"/>
    <w:rsid w:val="00143A52"/>
    <w:rsid w:val="00144778"/>
    <w:rsid w:val="00145C78"/>
    <w:rsid w:val="00151B1C"/>
    <w:rsid w:val="00152D0E"/>
    <w:rsid w:val="00156EF3"/>
    <w:rsid w:val="00167A31"/>
    <w:rsid w:val="0017521D"/>
    <w:rsid w:val="00182347"/>
    <w:rsid w:val="00182AD0"/>
    <w:rsid w:val="001853AB"/>
    <w:rsid w:val="00192606"/>
    <w:rsid w:val="001934E3"/>
    <w:rsid w:val="00196201"/>
    <w:rsid w:val="001967EF"/>
    <w:rsid w:val="001A0F00"/>
    <w:rsid w:val="001A4F12"/>
    <w:rsid w:val="001B038D"/>
    <w:rsid w:val="001B1851"/>
    <w:rsid w:val="001B50A5"/>
    <w:rsid w:val="001B6555"/>
    <w:rsid w:val="001C040E"/>
    <w:rsid w:val="001C1E35"/>
    <w:rsid w:val="001C5679"/>
    <w:rsid w:val="001C651A"/>
    <w:rsid w:val="001E0A6F"/>
    <w:rsid w:val="001E1E61"/>
    <w:rsid w:val="001F01A1"/>
    <w:rsid w:val="001F0251"/>
    <w:rsid w:val="001F02E3"/>
    <w:rsid w:val="001F070E"/>
    <w:rsid w:val="001F0975"/>
    <w:rsid w:val="001F3363"/>
    <w:rsid w:val="001F56FE"/>
    <w:rsid w:val="0020309A"/>
    <w:rsid w:val="00212785"/>
    <w:rsid w:val="002218E4"/>
    <w:rsid w:val="00222246"/>
    <w:rsid w:val="002321CD"/>
    <w:rsid w:val="002369D0"/>
    <w:rsid w:val="00237BAB"/>
    <w:rsid w:val="00242541"/>
    <w:rsid w:val="0026569A"/>
    <w:rsid w:val="00265771"/>
    <w:rsid w:val="002679F3"/>
    <w:rsid w:val="00273B96"/>
    <w:rsid w:val="00283A8A"/>
    <w:rsid w:val="002842FB"/>
    <w:rsid w:val="00296BF7"/>
    <w:rsid w:val="002A1F53"/>
    <w:rsid w:val="002B1AA3"/>
    <w:rsid w:val="002B2E9C"/>
    <w:rsid w:val="002B4A8C"/>
    <w:rsid w:val="002B6B05"/>
    <w:rsid w:val="002C21D6"/>
    <w:rsid w:val="002C2CDF"/>
    <w:rsid w:val="002C5F22"/>
    <w:rsid w:val="002C736F"/>
    <w:rsid w:val="002C7F01"/>
    <w:rsid w:val="002C7F21"/>
    <w:rsid w:val="002D787E"/>
    <w:rsid w:val="002F0D6D"/>
    <w:rsid w:val="002F3F8F"/>
    <w:rsid w:val="002F549C"/>
    <w:rsid w:val="002F6009"/>
    <w:rsid w:val="00301978"/>
    <w:rsid w:val="00302350"/>
    <w:rsid w:val="00302AF3"/>
    <w:rsid w:val="00307A06"/>
    <w:rsid w:val="00323FD4"/>
    <w:rsid w:val="00335B35"/>
    <w:rsid w:val="00335B73"/>
    <w:rsid w:val="00337363"/>
    <w:rsid w:val="003600A0"/>
    <w:rsid w:val="00360927"/>
    <w:rsid w:val="00364949"/>
    <w:rsid w:val="00366293"/>
    <w:rsid w:val="003768DD"/>
    <w:rsid w:val="003815B9"/>
    <w:rsid w:val="00392FD7"/>
    <w:rsid w:val="00397A4D"/>
    <w:rsid w:val="003B2E4D"/>
    <w:rsid w:val="003C7396"/>
    <w:rsid w:val="003C7AD8"/>
    <w:rsid w:val="003D0B09"/>
    <w:rsid w:val="003D27B3"/>
    <w:rsid w:val="003D58B6"/>
    <w:rsid w:val="003E1518"/>
    <w:rsid w:val="003E666F"/>
    <w:rsid w:val="003F0578"/>
    <w:rsid w:val="003F252F"/>
    <w:rsid w:val="003F65E1"/>
    <w:rsid w:val="003F6D55"/>
    <w:rsid w:val="004002B6"/>
    <w:rsid w:val="00400696"/>
    <w:rsid w:val="004120C5"/>
    <w:rsid w:val="004140E5"/>
    <w:rsid w:val="004260BD"/>
    <w:rsid w:val="00426BDA"/>
    <w:rsid w:val="004433DA"/>
    <w:rsid w:val="0044357F"/>
    <w:rsid w:val="004448AD"/>
    <w:rsid w:val="00466AFA"/>
    <w:rsid w:val="00471065"/>
    <w:rsid w:val="00471554"/>
    <w:rsid w:val="00475677"/>
    <w:rsid w:val="00482DCD"/>
    <w:rsid w:val="004830B5"/>
    <w:rsid w:val="004A0821"/>
    <w:rsid w:val="004A5EEB"/>
    <w:rsid w:val="004C253A"/>
    <w:rsid w:val="004D154A"/>
    <w:rsid w:val="004D1AF7"/>
    <w:rsid w:val="004D320E"/>
    <w:rsid w:val="004D5331"/>
    <w:rsid w:val="004D5C77"/>
    <w:rsid w:val="004D7DF1"/>
    <w:rsid w:val="004E0908"/>
    <w:rsid w:val="004E2E04"/>
    <w:rsid w:val="004E3825"/>
    <w:rsid w:val="00507E13"/>
    <w:rsid w:val="0051422D"/>
    <w:rsid w:val="00517443"/>
    <w:rsid w:val="00524A75"/>
    <w:rsid w:val="0052693E"/>
    <w:rsid w:val="00527BB3"/>
    <w:rsid w:val="0053042E"/>
    <w:rsid w:val="00531C59"/>
    <w:rsid w:val="00532B32"/>
    <w:rsid w:val="005330CA"/>
    <w:rsid w:val="005330ED"/>
    <w:rsid w:val="005332FA"/>
    <w:rsid w:val="0054068F"/>
    <w:rsid w:val="00544044"/>
    <w:rsid w:val="00547894"/>
    <w:rsid w:val="005506E0"/>
    <w:rsid w:val="00551461"/>
    <w:rsid w:val="0055188C"/>
    <w:rsid w:val="00554EC4"/>
    <w:rsid w:val="00556B6F"/>
    <w:rsid w:val="00563B64"/>
    <w:rsid w:val="00564D46"/>
    <w:rsid w:val="00573F7C"/>
    <w:rsid w:val="00583300"/>
    <w:rsid w:val="00587420"/>
    <w:rsid w:val="0059404B"/>
    <w:rsid w:val="005949A0"/>
    <w:rsid w:val="005A19D0"/>
    <w:rsid w:val="005A2897"/>
    <w:rsid w:val="005A513F"/>
    <w:rsid w:val="005A68D9"/>
    <w:rsid w:val="005B41D5"/>
    <w:rsid w:val="005C09B9"/>
    <w:rsid w:val="005C11BF"/>
    <w:rsid w:val="005D15D7"/>
    <w:rsid w:val="005D1EB1"/>
    <w:rsid w:val="005F265C"/>
    <w:rsid w:val="005F41A3"/>
    <w:rsid w:val="006125F3"/>
    <w:rsid w:val="006271DC"/>
    <w:rsid w:val="00631235"/>
    <w:rsid w:val="006411E1"/>
    <w:rsid w:val="0064304A"/>
    <w:rsid w:val="00645468"/>
    <w:rsid w:val="006538EC"/>
    <w:rsid w:val="00653B13"/>
    <w:rsid w:val="0065441C"/>
    <w:rsid w:val="00665691"/>
    <w:rsid w:val="0066727F"/>
    <w:rsid w:val="00672284"/>
    <w:rsid w:val="006732A9"/>
    <w:rsid w:val="00674A02"/>
    <w:rsid w:val="006778F4"/>
    <w:rsid w:val="00681C3A"/>
    <w:rsid w:val="0068217B"/>
    <w:rsid w:val="006A1A64"/>
    <w:rsid w:val="006A4016"/>
    <w:rsid w:val="006B1FAD"/>
    <w:rsid w:val="006B5EC1"/>
    <w:rsid w:val="006D035E"/>
    <w:rsid w:val="006D3005"/>
    <w:rsid w:val="006F4401"/>
    <w:rsid w:val="0070408B"/>
    <w:rsid w:val="007123ED"/>
    <w:rsid w:val="00713E29"/>
    <w:rsid w:val="007144FB"/>
    <w:rsid w:val="00716447"/>
    <w:rsid w:val="00726B30"/>
    <w:rsid w:val="00731344"/>
    <w:rsid w:val="007330C7"/>
    <w:rsid w:val="00741A0C"/>
    <w:rsid w:val="00750488"/>
    <w:rsid w:val="00752117"/>
    <w:rsid w:val="00754B2A"/>
    <w:rsid w:val="0076125A"/>
    <w:rsid w:val="00766868"/>
    <w:rsid w:val="007708C5"/>
    <w:rsid w:val="0077318E"/>
    <w:rsid w:val="00774679"/>
    <w:rsid w:val="00776BA1"/>
    <w:rsid w:val="00777C71"/>
    <w:rsid w:val="00797B85"/>
    <w:rsid w:val="007A044C"/>
    <w:rsid w:val="007A1F27"/>
    <w:rsid w:val="007A2F44"/>
    <w:rsid w:val="007A3054"/>
    <w:rsid w:val="007A3EF3"/>
    <w:rsid w:val="007B26DA"/>
    <w:rsid w:val="007B3A77"/>
    <w:rsid w:val="007B6C00"/>
    <w:rsid w:val="007C4B9F"/>
    <w:rsid w:val="007C58D2"/>
    <w:rsid w:val="007D2B04"/>
    <w:rsid w:val="007D3B15"/>
    <w:rsid w:val="007D696D"/>
    <w:rsid w:val="007E0558"/>
    <w:rsid w:val="007E1C94"/>
    <w:rsid w:val="007F0BC9"/>
    <w:rsid w:val="007F331B"/>
    <w:rsid w:val="007F7C56"/>
    <w:rsid w:val="008033B2"/>
    <w:rsid w:val="008056B7"/>
    <w:rsid w:val="0081320A"/>
    <w:rsid w:val="0082247B"/>
    <w:rsid w:val="00824F1F"/>
    <w:rsid w:val="00833A56"/>
    <w:rsid w:val="008370A0"/>
    <w:rsid w:val="0084009C"/>
    <w:rsid w:val="008447FC"/>
    <w:rsid w:val="0084577F"/>
    <w:rsid w:val="00852028"/>
    <w:rsid w:val="008534D2"/>
    <w:rsid w:val="00855284"/>
    <w:rsid w:val="0086344E"/>
    <w:rsid w:val="008634FF"/>
    <w:rsid w:val="00871BDF"/>
    <w:rsid w:val="00874B39"/>
    <w:rsid w:val="0087581D"/>
    <w:rsid w:val="00881B9C"/>
    <w:rsid w:val="00886FB3"/>
    <w:rsid w:val="00890CBC"/>
    <w:rsid w:val="008A1734"/>
    <w:rsid w:val="008A1B8E"/>
    <w:rsid w:val="008A32C7"/>
    <w:rsid w:val="008A40B5"/>
    <w:rsid w:val="008A783C"/>
    <w:rsid w:val="008B19C0"/>
    <w:rsid w:val="008B2F32"/>
    <w:rsid w:val="008C104B"/>
    <w:rsid w:val="008D3E6F"/>
    <w:rsid w:val="008D7A57"/>
    <w:rsid w:val="008E2EF6"/>
    <w:rsid w:val="008E3318"/>
    <w:rsid w:val="008E5723"/>
    <w:rsid w:val="008E6497"/>
    <w:rsid w:val="008F17AC"/>
    <w:rsid w:val="008F5198"/>
    <w:rsid w:val="008F5EB2"/>
    <w:rsid w:val="008F77DA"/>
    <w:rsid w:val="009009A2"/>
    <w:rsid w:val="00906949"/>
    <w:rsid w:val="00907435"/>
    <w:rsid w:val="00917202"/>
    <w:rsid w:val="00924880"/>
    <w:rsid w:val="00927701"/>
    <w:rsid w:val="00933249"/>
    <w:rsid w:val="00941940"/>
    <w:rsid w:val="00941A89"/>
    <w:rsid w:val="00947971"/>
    <w:rsid w:val="00953674"/>
    <w:rsid w:val="00961D92"/>
    <w:rsid w:val="00971C72"/>
    <w:rsid w:val="00972E1B"/>
    <w:rsid w:val="00980872"/>
    <w:rsid w:val="009813D0"/>
    <w:rsid w:val="0098556D"/>
    <w:rsid w:val="009877AC"/>
    <w:rsid w:val="00987C99"/>
    <w:rsid w:val="00987FFB"/>
    <w:rsid w:val="00990E0B"/>
    <w:rsid w:val="00993B91"/>
    <w:rsid w:val="00994743"/>
    <w:rsid w:val="00996BDD"/>
    <w:rsid w:val="009A58B3"/>
    <w:rsid w:val="009B20C6"/>
    <w:rsid w:val="009B4217"/>
    <w:rsid w:val="009C6E02"/>
    <w:rsid w:val="009C7A52"/>
    <w:rsid w:val="009D39E3"/>
    <w:rsid w:val="009D4513"/>
    <w:rsid w:val="009D5980"/>
    <w:rsid w:val="009D741C"/>
    <w:rsid w:val="009E5B5F"/>
    <w:rsid w:val="009F12AE"/>
    <w:rsid w:val="009F21FA"/>
    <w:rsid w:val="009F2AFD"/>
    <w:rsid w:val="009F6041"/>
    <w:rsid w:val="009F6E06"/>
    <w:rsid w:val="00A03473"/>
    <w:rsid w:val="00A224D8"/>
    <w:rsid w:val="00A26BC3"/>
    <w:rsid w:val="00A31D4F"/>
    <w:rsid w:val="00A34B8A"/>
    <w:rsid w:val="00A35291"/>
    <w:rsid w:val="00A476FA"/>
    <w:rsid w:val="00A54B57"/>
    <w:rsid w:val="00A56A06"/>
    <w:rsid w:val="00A56BD5"/>
    <w:rsid w:val="00A62C99"/>
    <w:rsid w:val="00A655A3"/>
    <w:rsid w:val="00A660A3"/>
    <w:rsid w:val="00A72394"/>
    <w:rsid w:val="00A75490"/>
    <w:rsid w:val="00A7549B"/>
    <w:rsid w:val="00A80A5A"/>
    <w:rsid w:val="00A8253B"/>
    <w:rsid w:val="00A83771"/>
    <w:rsid w:val="00A84BBB"/>
    <w:rsid w:val="00A9089B"/>
    <w:rsid w:val="00A9201A"/>
    <w:rsid w:val="00A9364B"/>
    <w:rsid w:val="00AA14DF"/>
    <w:rsid w:val="00AA785B"/>
    <w:rsid w:val="00AB0622"/>
    <w:rsid w:val="00AB0BD5"/>
    <w:rsid w:val="00AB2976"/>
    <w:rsid w:val="00AC3B9C"/>
    <w:rsid w:val="00AC68D9"/>
    <w:rsid w:val="00AC7389"/>
    <w:rsid w:val="00AE0479"/>
    <w:rsid w:val="00AE202D"/>
    <w:rsid w:val="00AF0EA0"/>
    <w:rsid w:val="00AF0F11"/>
    <w:rsid w:val="00AF78E4"/>
    <w:rsid w:val="00B12632"/>
    <w:rsid w:val="00B1363C"/>
    <w:rsid w:val="00B20937"/>
    <w:rsid w:val="00B22244"/>
    <w:rsid w:val="00B3333E"/>
    <w:rsid w:val="00B357AF"/>
    <w:rsid w:val="00B35CDF"/>
    <w:rsid w:val="00B36811"/>
    <w:rsid w:val="00B3694C"/>
    <w:rsid w:val="00B37D93"/>
    <w:rsid w:val="00B40861"/>
    <w:rsid w:val="00B42BCA"/>
    <w:rsid w:val="00B45297"/>
    <w:rsid w:val="00B53A4B"/>
    <w:rsid w:val="00B67939"/>
    <w:rsid w:val="00B712D8"/>
    <w:rsid w:val="00B77CBC"/>
    <w:rsid w:val="00B84074"/>
    <w:rsid w:val="00B85F4D"/>
    <w:rsid w:val="00B90C57"/>
    <w:rsid w:val="00BA48F9"/>
    <w:rsid w:val="00BB1066"/>
    <w:rsid w:val="00BB1769"/>
    <w:rsid w:val="00BB1CC8"/>
    <w:rsid w:val="00BB1FAE"/>
    <w:rsid w:val="00BC450E"/>
    <w:rsid w:val="00BC78F7"/>
    <w:rsid w:val="00BD1951"/>
    <w:rsid w:val="00BE05C7"/>
    <w:rsid w:val="00BF4477"/>
    <w:rsid w:val="00BF7372"/>
    <w:rsid w:val="00C004AF"/>
    <w:rsid w:val="00C03A87"/>
    <w:rsid w:val="00C04B44"/>
    <w:rsid w:val="00C14273"/>
    <w:rsid w:val="00C17817"/>
    <w:rsid w:val="00C22BE0"/>
    <w:rsid w:val="00C26520"/>
    <w:rsid w:val="00C33FF3"/>
    <w:rsid w:val="00C435EE"/>
    <w:rsid w:val="00C442D3"/>
    <w:rsid w:val="00C544AE"/>
    <w:rsid w:val="00C6119A"/>
    <w:rsid w:val="00C62F36"/>
    <w:rsid w:val="00C64895"/>
    <w:rsid w:val="00C659F3"/>
    <w:rsid w:val="00C7091C"/>
    <w:rsid w:val="00C72482"/>
    <w:rsid w:val="00C7650A"/>
    <w:rsid w:val="00C828FF"/>
    <w:rsid w:val="00C8574A"/>
    <w:rsid w:val="00C94280"/>
    <w:rsid w:val="00CA1D35"/>
    <w:rsid w:val="00CA3F5B"/>
    <w:rsid w:val="00CA48C4"/>
    <w:rsid w:val="00CB0B32"/>
    <w:rsid w:val="00CB7D68"/>
    <w:rsid w:val="00CB7DD4"/>
    <w:rsid w:val="00CC1DC2"/>
    <w:rsid w:val="00CC5CD1"/>
    <w:rsid w:val="00CD0497"/>
    <w:rsid w:val="00CE0970"/>
    <w:rsid w:val="00CF22CD"/>
    <w:rsid w:val="00CF42A9"/>
    <w:rsid w:val="00D035D6"/>
    <w:rsid w:val="00D1039D"/>
    <w:rsid w:val="00D14B8F"/>
    <w:rsid w:val="00D232B9"/>
    <w:rsid w:val="00D2370F"/>
    <w:rsid w:val="00D23BE8"/>
    <w:rsid w:val="00D2782A"/>
    <w:rsid w:val="00D30A8B"/>
    <w:rsid w:val="00D41604"/>
    <w:rsid w:val="00D42C19"/>
    <w:rsid w:val="00D46AE7"/>
    <w:rsid w:val="00D60598"/>
    <w:rsid w:val="00D623BB"/>
    <w:rsid w:val="00D76DB8"/>
    <w:rsid w:val="00D80BBA"/>
    <w:rsid w:val="00DA157B"/>
    <w:rsid w:val="00DA7D0A"/>
    <w:rsid w:val="00DB24D3"/>
    <w:rsid w:val="00DB40D5"/>
    <w:rsid w:val="00DB5033"/>
    <w:rsid w:val="00DB5B9E"/>
    <w:rsid w:val="00DB7D22"/>
    <w:rsid w:val="00DC0A26"/>
    <w:rsid w:val="00DC6D8C"/>
    <w:rsid w:val="00DE379C"/>
    <w:rsid w:val="00DE7186"/>
    <w:rsid w:val="00DF293E"/>
    <w:rsid w:val="00DF3915"/>
    <w:rsid w:val="00DF7CA3"/>
    <w:rsid w:val="00E01658"/>
    <w:rsid w:val="00E1322D"/>
    <w:rsid w:val="00E15281"/>
    <w:rsid w:val="00E260BD"/>
    <w:rsid w:val="00E32AFA"/>
    <w:rsid w:val="00E3444C"/>
    <w:rsid w:val="00E3585E"/>
    <w:rsid w:val="00E37202"/>
    <w:rsid w:val="00E60397"/>
    <w:rsid w:val="00E6174E"/>
    <w:rsid w:val="00E6386A"/>
    <w:rsid w:val="00E670D9"/>
    <w:rsid w:val="00E72198"/>
    <w:rsid w:val="00E861D4"/>
    <w:rsid w:val="00E92406"/>
    <w:rsid w:val="00E96672"/>
    <w:rsid w:val="00EA1682"/>
    <w:rsid w:val="00EA3199"/>
    <w:rsid w:val="00EB1343"/>
    <w:rsid w:val="00EC4178"/>
    <w:rsid w:val="00EC44F4"/>
    <w:rsid w:val="00ED218E"/>
    <w:rsid w:val="00ED367D"/>
    <w:rsid w:val="00ED4FFF"/>
    <w:rsid w:val="00ED63F4"/>
    <w:rsid w:val="00ED74FB"/>
    <w:rsid w:val="00EE225E"/>
    <w:rsid w:val="00EE48A5"/>
    <w:rsid w:val="00EF2DD8"/>
    <w:rsid w:val="00EF64AA"/>
    <w:rsid w:val="00F01631"/>
    <w:rsid w:val="00F044FD"/>
    <w:rsid w:val="00F06F01"/>
    <w:rsid w:val="00F13668"/>
    <w:rsid w:val="00F13947"/>
    <w:rsid w:val="00F427F5"/>
    <w:rsid w:val="00F50455"/>
    <w:rsid w:val="00F523CC"/>
    <w:rsid w:val="00F5324E"/>
    <w:rsid w:val="00F56C46"/>
    <w:rsid w:val="00F57606"/>
    <w:rsid w:val="00F6127D"/>
    <w:rsid w:val="00F621B9"/>
    <w:rsid w:val="00F65C00"/>
    <w:rsid w:val="00F721A2"/>
    <w:rsid w:val="00F7314C"/>
    <w:rsid w:val="00F75F3B"/>
    <w:rsid w:val="00F8213F"/>
    <w:rsid w:val="00F84990"/>
    <w:rsid w:val="00FA0E58"/>
    <w:rsid w:val="00FA21D2"/>
    <w:rsid w:val="00FA5953"/>
    <w:rsid w:val="00FB15AC"/>
    <w:rsid w:val="00FB226A"/>
    <w:rsid w:val="00FB4B60"/>
    <w:rsid w:val="00FB594B"/>
    <w:rsid w:val="00FC0EB0"/>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D46AE7"/>
  </w:style>
  <w:style w:type="paragraph" w:styleId="Heading1">
    <w:name w:val="heading 1"/>
    <w:basedOn w:val="Normal"/>
    <w:next w:val="Normal"/>
    <w:link w:val="Heading1Char"/>
    <w:uiPriority w:val="9"/>
    <w:qFormat/>
    <w:rsid w:val="006271D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271D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8E2E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883"/>
    <w:rPr>
      <w:rFonts w:ascii="Lucida Grande" w:hAnsi="Lucida Grande"/>
      <w:sz w:val="18"/>
      <w:szCs w:val="18"/>
    </w:rPr>
  </w:style>
  <w:style w:type="character" w:customStyle="1" w:styleId="BalloonTextChar0">
    <w:name w:val="Balloon Text Char"/>
    <w:basedOn w:val="DefaultParagraphFont"/>
    <w:link w:val="BalloonText"/>
    <w:uiPriority w:val="99"/>
    <w:semiHidden/>
    <w:rsid w:val="00F93883"/>
    <w:rPr>
      <w:rFonts w:ascii="Lucida Grande" w:hAnsi="Lucida Grande"/>
      <w:sz w:val="18"/>
      <w:szCs w:val="18"/>
    </w:rPr>
  </w:style>
  <w:style w:type="character" w:styleId="Hyperlink">
    <w:name w:val="Hyperlink"/>
    <w:basedOn w:val="DefaultParagraphFont"/>
    <w:uiPriority w:val="99"/>
    <w:unhideWhenUsed/>
    <w:rsid w:val="00B40861"/>
    <w:rPr>
      <w:color w:val="0563C1" w:themeColor="hyperlink"/>
      <w:u w:val="single"/>
    </w:rPr>
  </w:style>
  <w:style w:type="character" w:customStyle="1" w:styleId="UnresolvedMention1">
    <w:name w:val="Unresolved Mention1"/>
    <w:basedOn w:val="DefaultParagraphFont"/>
    <w:uiPriority w:val="99"/>
    <w:rsid w:val="00B40861"/>
    <w:rPr>
      <w:color w:val="808080"/>
      <w:shd w:val="clear" w:color="auto" w:fill="E6E6E6"/>
    </w:rPr>
  </w:style>
  <w:style w:type="character" w:styleId="FollowedHyperlink">
    <w:name w:val="FollowedHyperlink"/>
    <w:basedOn w:val="DefaultParagraphFont"/>
    <w:uiPriority w:val="99"/>
    <w:semiHidden/>
    <w:unhideWhenUsed/>
    <w:rsid w:val="009D5980"/>
    <w:rPr>
      <w:color w:val="954F72" w:themeColor="followedHyperlink"/>
      <w:u w:val="single"/>
    </w:rPr>
  </w:style>
  <w:style w:type="paragraph" w:styleId="Header">
    <w:name w:val="header"/>
    <w:basedOn w:val="Normal"/>
    <w:link w:val="HeaderChar"/>
    <w:uiPriority w:val="99"/>
    <w:unhideWhenUsed/>
    <w:rsid w:val="00AB2976"/>
    <w:pPr>
      <w:tabs>
        <w:tab w:val="center" w:pos="4680"/>
        <w:tab w:val="right" w:pos="9360"/>
      </w:tabs>
    </w:pPr>
  </w:style>
  <w:style w:type="character" w:customStyle="1" w:styleId="HeaderChar">
    <w:name w:val="Header Char"/>
    <w:basedOn w:val="DefaultParagraphFont"/>
    <w:link w:val="Header"/>
    <w:uiPriority w:val="99"/>
    <w:rsid w:val="00AB2976"/>
  </w:style>
  <w:style w:type="paragraph" w:styleId="Footer">
    <w:name w:val="footer"/>
    <w:basedOn w:val="Normal"/>
    <w:link w:val="FooterChar"/>
    <w:uiPriority w:val="99"/>
    <w:unhideWhenUsed/>
    <w:rsid w:val="00AB2976"/>
    <w:pPr>
      <w:tabs>
        <w:tab w:val="center" w:pos="4680"/>
        <w:tab w:val="right" w:pos="9360"/>
      </w:tabs>
    </w:pPr>
  </w:style>
  <w:style w:type="character" w:customStyle="1" w:styleId="FooterChar">
    <w:name w:val="Footer Char"/>
    <w:basedOn w:val="DefaultParagraphFont"/>
    <w:link w:val="Footer"/>
    <w:uiPriority w:val="99"/>
    <w:rsid w:val="00AB2976"/>
  </w:style>
  <w:style w:type="paragraph" w:styleId="ListParagraph">
    <w:name w:val="List Paragraph"/>
    <w:basedOn w:val="Normal"/>
    <w:uiPriority w:val="34"/>
    <w:qFormat/>
    <w:rsid w:val="003F65E1"/>
    <w:pPr>
      <w:ind w:left="720"/>
      <w:contextualSpacing/>
    </w:pPr>
  </w:style>
  <w:style w:type="character" w:styleId="CommentReference">
    <w:name w:val="annotation reference"/>
    <w:basedOn w:val="DefaultParagraphFont"/>
    <w:uiPriority w:val="99"/>
    <w:semiHidden/>
    <w:unhideWhenUsed/>
    <w:rsid w:val="008E2EF6"/>
    <w:rPr>
      <w:sz w:val="16"/>
      <w:szCs w:val="16"/>
    </w:rPr>
  </w:style>
  <w:style w:type="paragraph" w:styleId="CommentText">
    <w:name w:val="annotation text"/>
    <w:basedOn w:val="Normal"/>
    <w:link w:val="CommentTextChar"/>
    <w:uiPriority w:val="99"/>
    <w:semiHidden/>
    <w:unhideWhenUsed/>
    <w:rsid w:val="008E2EF6"/>
    <w:rPr>
      <w:sz w:val="20"/>
      <w:szCs w:val="20"/>
    </w:rPr>
  </w:style>
  <w:style w:type="character" w:customStyle="1" w:styleId="CommentTextChar">
    <w:name w:val="Comment Text Char"/>
    <w:basedOn w:val="DefaultParagraphFont"/>
    <w:link w:val="CommentText"/>
    <w:uiPriority w:val="99"/>
    <w:semiHidden/>
    <w:rsid w:val="008E2EF6"/>
    <w:rPr>
      <w:sz w:val="20"/>
      <w:szCs w:val="20"/>
    </w:rPr>
  </w:style>
  <w:style w:type="paragraph" w:styleId="CommentSubject">
    <w:name w:val="annotation subject"/>
    <w:basedOn w:val="CommentText"/>
    <w:next w:val="CommentText"/>
    <w:link w:val="CommentSubjectChar"/>
    <w:uiPriority w:val="99"/>
    <w:semiHidden/>
    <w:unhideWhenUsed/>
    <w:rsid w:val="008E2EF6"/>
    <w:rPr>
      <w:b/>
      <w:bCs/>
    </w:rPr>
  </w:style>
  <w:style w:type="character" w:customStyle="1" w:styleId="CommentSubjectChar">
    <w:name w:val="Comment Subject Char"/>
    <w:basedOn w:val="CommentTextChar"/>
    <w:link w:val="CommentSubject"/>
    <w:uiPriority w:val="99"/>
    <w:semiHidden/>
    <w:rsid w:val="008E2EF6"/>
    <w:rPr>
      <w:b/>
      <w:bCs/>
      <w:sz w:val="20"/>
      <w:szCs w:val="20"/>
    </w:rPr>
  </w:style>
  <w:style w:type="character" w:customStyle="1" w:styleId="BalloonTextChar1">
    <w:name w:val="Balloon Text Char1"/>
    <w:basedOn w:val="DefaultParagraphFont"/>
    <w:link w:val="BalloonText"/>
    <w:uiPriority w:val="99"/>
    <w:semiHidden/>
    <w:rsid w:val="008E2EF6"/>
    <w:rPr>
      <w:rFonts w:ascii="Segoe UI" w:hAnsi="Segoe UI" w:cs="Segoe UI"/>
      <w:sz w:val="18"/>
      <w:szCs w:val="18"/>
    </w:rPr>
  </w:style>
  <w:style w:type="paragraph" w:customStyle="1" w:styleId="Box">
    <w:name w:val="Box"/>
    <w:basedOn w:val="Normal"/>
    <w:rsid w:val="00044A9C"/>
    <w:pPr>
      <w:spacing w:before="120" w:after="180"/>
    </w:pPr>
    <w:rPr>
      <w:rFonts w:ascii="Trebuchet MS" w:hAnsi="Trebuchet MS" w:cstheme="minorBidi"/>
      <w:color w:val="545454"/>
      <w:sz w:val="18"/>
    </w:rPr>
  </w:style>
  <w:style w:type="table" w:styleId="TableGrid">
    <w:name w:val="Table Grid"/>
    <w:basedOn w:val="TableNormal"/>
    <w:uiPriority w:val="39"/>
    <w:rsid w:val="00044A9C"/>
    <w:rPr>
      <w:rFonts w:ascii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1B6555"/>
    <w:rPr>
      <w:color w:val="808080"/>
      <w:shd w:val="clear" w:color="auto" w:fill="E6E6E6"/>
    </w:rPr>
  </w:style>
  <w:style w:type="character" w:customStyle="1" w:styleId="Heading1Char">
    <w:name w:val="Heading 1 Char"/>
    <w:basedOn w:val="DefaultParagraphFont"/>
    <w:link w:val="Heading1"/>
    <w:uiPriority w:val="9"/>
    <w:rsid w:val="006271D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271DC"/>
    <w:rPr>
      <w:rFonts w:asciiTheme="majorHAnsi" w:eastAsiaTheme="majorEastAsia" w:hAnsiTheme="majorHAnsi" w:cstheme="majorBidi"/>
      <w:color w:val="2F5496" w:themeColor="accent1" w:themeShade="BF"/>
      <w:sz w:val="26"/>
      <w:szCs w:val="26"/>
    </w:rPr>
  </w:style>
  <w:style w:type="character" w:customStyle="1" w:styleId="highlight">
    <w:name w:val="highlight"/>
    <w:basedOn w:val="DefaultParagraphFont"/>
    <w:rsid w:val="006B5EC1"/>
  </w:style>
  <w:style w:type="character" w:styleId="Strong">
    <w:name w:val="Strong"/>
    <w:basedOn w:val="DefaultParagraphFont"/>
    <w:uiPriority w:val="22"/>
    <w:qFormat/>
    <w:rsid w:val="00674A02"/>
    <w:rPr>
      <w:b/>
      <w:bCs/>
    </w:rPr>
  </w:style>
  <w:style w:type="paragraph" w:customStyle="1" w:styleId="Default">
    <w:name w:val="Default"/>
    <w:rsid w:val="00C6119A"/>
    <w:pPr>
      <w:autoSpaceDE w:val="0"/>
      <w:autoSpaceDN w:val="0"/>
      <w:adjustRightInd w:val="0"/>
    </w:pPr>
    <w:rPr>
      <w:color w:val="000000"/>
    </w:rPr>
  </w:style>
  <w:style w:type="paragraph" w:styleId="Caption">
    <w:name w:val="caption"/>
    <w:basedOn w:val="Normal"/>
    <w:next w:val="Normal"/>
    <w:rsid w:val="00C435EE"/>
    <w:pPr>
      <w:spacing w:after="200"/>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divs>
    <w:div w:id="216748863">
      <w:bodyDiv w:val="1"/>
      <w:marLeft w:val="0"/>
      <w:marRight w:val="0"/>
      <w:marTop w:val="0"/>
      <w:marBottom w:val="0"/>
      <w:divBdr>
        <w:top w:val="none" w:sz="0" w:space="0" w:color="auto"/>
        <w:left w:val="none" w:sz="0" w:space="0" w:color="auto"/>
        <w:bottom w:val="none" w:sz="0" w:space="0" w:color="auto"/>
        <w:right w:val="none" w:sz="0" w:space="0" w:color="auto"/>
      </w:divBdr>
    </w:div>
    <w:div w:id="337734243">
      <w:bodyDiv w:val="1"/>
      <w:marLeft w:val="0"/>
      <w:marRight w:val="0"/>
      <w:marTop w:val="0"/>
      <w:marBottom w:val="0"/>
      <w:divBdr>
        <w:top w:val="none" w:sz="0" w:space="0" w:color="auto"/>
        <w:left w:val="none" w:sz="0" w:space="0" w:color="auto"/>
        <w:bottom w:val="none" w:sz="0" w:space="0" w:color="auto"/>
        <w:right w:val="none" w:sz="0" w:space="0" w:color="auto"/>
      </w:divBdr>
    </w:div>
    <w:div w:id="348141459">
      <w:bodyDiv w:val="1"/>
      <w:marLeft w:val="0"/>
      <w:marRight w:val="0"/>
      <w:marTop w:val="0"/>
      <w:marBottom w:val="0"/>
      <w:divBdr>
        <w:top w:val="none" w:sz="0" w:space="0" w:color="auto"/>
        <w:left w:val="none" w:sz="0" w:space="0" w:color="auto"/>
        <w:bottom w:val="none" w:sz="0" w:space="0" w:color="auto"/>
        <w:right w:val="none" w:sz="0" w:space="0" w:color="auto"/>
      </w:divBdr>
    </w:div>
    <w:div w:id="354699738">
      <w:bodyDiv w:val="1"/>
      <w:marLeft w:val="0"/>
      <w:marRight w:val="0"/>
      <w:marTop w:val="0"/>
      <w:marBottom w:val="0"/>
      <w:divBdr>
        <w:top w:val="none" w:sz="0" w:space="0" w:color="auto"/>
        <w:left w:val="none" w:sz="0" w:space="0" w:color="auto"/>
        <w:bottom w:val="none" w:sz="0" w:space="0" w:color="auto"/>
        <w:right w:val="none" w:sz="0" w:space="0" w:color="auto"/>
      </w:divBdr>
    </w:div>
    <w:div w:id="363210640">
      <w:bodyDiv w:val="1"/>
      <w:marLeft w:val="0"/>
      <w:marRight w:val="0"/>
      <w:marTop w:val="0"/>
      <w:marBottom w:val="0"/>
      <w:divBdr>
        <w:top w:val="none" w:sz="0" w:space="0" w:color="auto"/>
        <w:left w:val="none" w:sz="0" w:space="0" w:color="auto"/>
        <w:bottom w:val="none" w:sz="0" w:space="0" w:color="auto"/>
        <w:right w:val="none" w:sz="0" w:space="0" w:color="auto"/>
      </w:divBdr>
    </w:div>
    <w:div w:id="368533096">
      <w:bodyDiv w:val="1"/>
      <w:marLeft w:val="0"/>
      <w:marRight w:val="0"/>
      <w:marTop w:val="0"/>
      <w:marBottom w:val="0"/>
      <w:divBdr>
        <w:top w:val="none" w:sz="0" w:space="0" w:color="auto"/>
        <w:left w:val="none" w:sz="0" w:space="0" w:color="auto"/>
        <w:bottom w:val="none" w:sz="0" w:space="0" w:color="auto"/>
        <w:right w:val="none" w:sz="0" w:space="0" w:color="auto"/>
      </w:divBdr>
    </w:div>
    <w:div w:id="508450930">
      <w:bodyDiv w:val="1"/>
      <w:marLeft w:val="0"/>
      <w:marRight w:val="0"/>
      <w:marTop w:val="0"/>
      <w:marBottom w:val="0"/>
      <w:divBdr>
        <w:top w:val="none" w:sz="0" w:space="0" w:color="auto"/>
        <w:left w:val="none" w:sz="0" w:space="0" w:color="auto"/>
        <w:bottom w:val="none" w:sz="0" w:space="0" w:color="auto"/>
        <w:right w:val="none" w:sz="0" w:space="0" w:color="auto"/>
      </w:divBdr>
    </w:div>
    <w:div w:id="551116200">
      <w:bodyDiv w:val="1"/>
      <w:marLeft w:val="0"/>
      <w:marRight w:val="0"/>
      <w:marTop w:val="0"/>
      <w:marBottom w:val="0"/>
      <w:divBdr>
        <w:top w:val="none" w:sz="0" w:space="0" w:color="auto"/>
        <w:left w:val="none" w:sz="0" w:space="0" w:color="auto"/>
        <w:bottom w:val="none" w:sz="0" w:space="0" w:color="auto"/>
        <w:right w:val="none" w:sz="0" w:space="0" w:color="auto"/>
      </w:divBdr>
    </w:div>
    <w:div w:id="638340955">
      <w:bodyDiv w:val="1"/>
      <w:marLeft w:val="0"/>
      <w:marRight w:val="0"/>
      <w:marTop w:val="0"/>
      <w:marBottom w:val="0"/>
      <w:divBdr>
        <w:top w:val="none" w:sz="0" w:space="0" w:color="auto"/>
        <w:left w:val="none" w:sz="0" w:space="0" w:color="auto"/>
        <w:bottom w:val="none" w:sz="0" w:space="0" w:color="auto"/>
        <w:right w:val="none" w:sz="0" w:space="0" w:color="auto"/>
      </w:divBdr>
    </w:div>
    <w:div w:id="739789777">
      <w:bodyDiv w:val="1"/>
      <w:marLeft w:val="0"/>
      <w:marRight w:val="0"/>
      <w:marTop w:val="0"/>
      <w:marBottom w:val="0"/>
      <w:divBdr>
        <w:top w:val="none" w:sz="0" w:space="0" w:color="auto"/>
        <w:left w:val="none" w:sz="0" w:space="0" w:color="auto"/>
        <w:bottom w:val="none" w:sz="0" w:space="0" w:color="auto"/>
        <w:right w:val="none" w:sz="0" w:space="0" w:color="auto"/>
      </w:divBdr>
    </w:div>
    <w:div w:id="1050497344">
      <w:bodyDiv w:val="1"/>
      <w:marLeft w:val="0"/>
      <w:marRight w:val="0"/>
      <w:marTop w:val="0"/>
      <w:marBottom w:val="0"/>
      <w:divBdr>
        <w:top w:val="none" w:sz="0" w:space="0" w:color="auto"/>
        <w:left w:val="none" w:sz="0" w:space="0" w:color="auto"/>
        <w:bottom w:val="none" w:sz="0" w:space="0" w:color="auto"/>
        <w:right w:val="none" w:sz="0" w:space="0" w:color="auto"/>
      </w:divBdr>
    </w:div>
    <w:div w:id="1080365946">
      <w:bodyDiv w:val="1"/>
      <w:marLeft w:val="0"/>
      <w:marRight w:val="0"/>
      <w:marTop w:val="0"/>
      <w:marBottom w:val="0"/>
      <w:divBdr>
        <w:top w:val="none" w:sz="0" w:space="0" w:color="auto"/>
        <w:left w:val="none" w:sz="0" w:space="0" w:color="auto"/>
        <w:bottom w:val="none" w:sz="0" w:space="0" w:color="auto"/>
        <w:right w:val="none" w:sz="0" w:space="0" w:color="auto"/>
      </w:divBdr>
    </w:div>
    <w:div w:id="1180773480">
      <w:bodyDiv w:val="1"/>
      <w:marLeft w:val="0"/>
      <w:marRight w:val="0"/>
      <w:marTop w:val="0"/>
      <w:marBottom w:val="0"/>
      <w:divBdr>
        <w:top w:val="none" w:sz="0" w:space="0" w:color="auto"/>
        <w:left w:val="none" w:sz="0" w:space="0" w:color="auto"/>
        <w:bottom w:val="none" w:sz="0" w:space="0" w:color="auto"/>
        <w:right w:val="none" w:sz="0" w:space="0" w:color="auto"/>
      </w:divBdr>
    </w:div>
    <w:div w:id="1257521064">
      <w:bodyDiv w:val="1"/>
      <w:marLeft w:val="0"/>
      <w:marRight w:val="0"/>
      <w:marTop w:val="0"/>
      <w:marBottom w:val="0"/>
      <w:divBdr>
        <w:top w:val="none" w:sz="0" w:space="0" w:color="auto"/>
        <w:left w:val="none" w:sz="0" w:space="0" w:color="auto"/>
        <w:bottom w:val="none" w:sz="0" w:space="0" w:color="auto"/>
        <w:right w:val="none" w:sz="0" w:space="0" w:color="auto"/>
      </w:divBdr>
    </w:div>
    <w:div w:id="1296259662">
      <w:bodyDiv w:val="1"/>
      <w:marLeft w:val="0"/>
      <w:marRight w:val="0"/>
      <w:marTop w:val="0"/>
      <w:marBottom w:val="0"/>
      <w:divBdr>
        <w:top w:val="none" w:sz="0" w:space="0" w:color="auto"/>
        <w:left w:val="none" w:sz="0" w:space="0" w:color="auto"/>
        <w:bottom w:val="none" w:sz="0" w:space="0" w:color="auto"/>
        <w:right w:val="none" w:sz="0" w:space="0" w:color="auto"/>
      </w:divBdr>
    </w:div>
    <w:div w:id="1301769780">
      <w:bodyDiv w:val="1"/>
      <w:marLeft w:val="0"/>
      <w:marRight w:val="0"/>
      <w:marTop w:val="0"/>
      <w:marBottom w:val="0"/>
      <w:divBdr>
        <w:top w:val="none" w:sz="0" w:space="0" w:color="auto"/>
        <w:left w:val="none" w:sz="0" w:space="0" w:color="auto"/>
        <w:bottom w:val="none" w:sz="0" w:space="0" w:color="auto"/>
        <w:right w:val="none" w:sz="0" w:space="0" w:color="auto"/>
      </w:divBdr>
    </w:div>
    <w:div w:id="1446777045">
      <w:bodyDiv w:val="1"/>
      <w:marLeft w:val="0"/>
      <w:marRight w:val="0"/>
      <w:marTop w:val="0"/>
      <w:marBottom w:val="0"/>
      <w:divBdr>
        <w:top w:val="none" w:sz="0" w:space="0" w:color="auto"/>
        <w:left w:val="none" w:sz="0" w:space="0" w:color="auto"/>
        <w:bottom w:val="none" w:sz="0" w:space="0" w:color="auto"/>
        <w:right w:val="none" w:sz="0" w:space="0" w:color="auto"/>
      </w:divBdr>
      <w:divsChild>
        <w:div w:id="224223415">
          <w:marLeft w:val="0"/>
          <w:marRight w:val="0"/>
          <w:marTop w:val="0"/>
          <w:marBottom w:val="0"/>
          <w:divBdr>
            <w:top w:val="none" w:sz="0" w:space="0" w:color="auto"/>
            <w:left w:val="none" w:sz="0" w:space="0" w:color="auto"/>
            <w:bottom w:val="none" w:sz="0" w:space="0" w:color="auto"/>
            <w:right w:val="none" w:sz="0" w:space="0" w:color="auto"/>
          </w:divBdr>
        </w:div>
        <w:div w:id="1868444483">
          <w:marLeft w:val="0"/>
          <w:marRight w:val="0"/>
          <w:marTop w:val="0"/>
          <w:marBottom w:val="0"/>
          <w:divBdr>
            <w:top w:val="none" w:sz="0" w:space="0" w:color="auto"/>
            <w:left w:val="none" w:sz="0" w:space="0" w:color="auto"/>
            <w:bottom w:val="none" w:sz="0" w:space="0" w:color="auto"/>
            <w:right w:val="none" w:sz="0" w:space="0" w:color="auto"/>
          </w:divBdr>
        </w:div>
        <w:div w:id="760103507">
          <w:marLeft w:val="0"/>
          <w:marRight w:val="0"/>
          <w:marTop w:val="0"/>
          <w:marBottom w:val="0"/>
          <w:divBdr>
            <w:top w:val="none" w:sz="0" w:space="0" w:color="auto"/>
            <w:left w:val="none" w:sz="0" w:space="0" w:color="auto"/>
            <w:bottom w:val="none" w:sz="0" w:space="0" w:color="auto"/>
            <w:right w:val="none" w:sz="0" w:space="0" w:color="auto"/>
          </w:divBdr>
        </w:div>
        <w:div w:id="12003969">
          <w:marLeft w:val="0"/>
          <w:marRight w:val="0"/>
          <w:marTop w:val="0"/>
          <w:marBottom w:val="0"/>
          <w:divBdr>
            <w:top w:val="none" w:sz="0" w:space="0" w:color="auto"/>
            <w:left w:val="none" w:sz="0" w:space="0" w:color="auto"/>
            <w:bottom w:val="none" w:sz="0" w:space="0" w:color="auto"/>
            <w:right w:val="none" w:sz="0" w:space="0" w:color="auto"/>
          </w:divBdr>
        </w:div>
        <w:div w:id="488638003">
          <w:marLeft w:val="0"/>
          <w:marRight w:val="0"/>
          <w:marTop w:val="0"/>
          <w:marBottom w:val="0"/>
          <w:divBdr>
            <w:top w:val="none" w:sz="0" w:space="0" w:color="auto"/>
            <w:left w:val="none" w:sz="0" w:space="0" w:color="auto"/>
            <w:bottom w:val="none" w:sz="0" w:space="0" w:color="auto"/>
            <w:right w:val="none" w:sz="0" w:space="0" w:color="auto"/>
          </w:divBdr>
        </w:div>
      </w:divsChild>
    </w:div>
    <w:div w:id="1450857413">
      <w:bodyDiv w:val="1"/>
      <w:marLeft w:val="0"/>
      <w:marRight w:val="0"/>
      <w:marTop w:val="0"/>
      <w:marBottom w:val="0"/>
      <w:divBdr>
        <w:top w:val="none" w:sz="0" w:space="0" w:color="auto"/>
        <w:left w:val="none" w:sz="0" w:space="0" w:color="auto"/>
        <w:bottom w:val="none" w:sz="0" w:space="0" w:color="auto"/>
        <w:right w:val="none" w:sz="0" w:space="0" w:color="auto"/>
      </w:divBdr>
    </w:div>
    <w:div w:id="1538393887">
      <w:bodyDiv w:val="1"/>
      <w:marLeft w:val="0"/>
      <w:marRight w:val="0"/>
      <w:marTop w:val="0"/>
      <w:marBottom w:val="0"/>
      <w:divBdr>
        <w:top w:val="none" w:sz="0" w:space="0" w:color="auto"/>
        <w:left w:val="none" w:sz="0" w:space="0" w:color="auto"/>
        <w:bottom w:val="none" w:sz="0" w:space="0" w:color="auto"/>
        <w:right w:val="none" w:sz="0" w:space="0" w:color="auto"/>
      </w:divBdr>
    </w:div>
    <w:div w:id="1677878993">
      <w:bodyDiv w:val="1"/>
      <w:marLeft w:val="0"/>
      <w:marRight w:val="0"/>
      <w:marTop w:val="0"/>
      <w:marBottom w:val="0"/>
      <w:divBdr>
        <w:top w:val="none" w:sz="0" w:space="0" w:color="auto"/>
        <w:left w:val="none" w:sz="0" w:space="0" w:color="auto"/>
        <w:bottom w:val="none" w:sz="0" w:space="0" w:color="auto"/>
        <w:right w:val="none" w:sz="0" w:space="0" w:color="auto"/>
      </w:divBdr>
    </w:div>
    <w:div w:id="1711883432">
      <w:bodyDiv w:val="1"/>
      <w:marLeft w:val="0"/>
      <w:marRight w:val="0"/>
      <w:marTop w:val="0"/>
      <w:marBottom w:val="0"/>
      <w:divBdr>
        <w:top w:val="none" w:sz="0" w:space="0" w:color="auto"/>
        <w:left w:val="none" w:sz="0" w:space="0" w:color="auto"/>
        <w:bottom w:val="none" w:sz="0" w:space="0" w:color="auto"/>
        <w:right w:val="none" w:sz="0" w:space="0" w:color="auto"/>
      </w:divBdr>
    </w:div>
    <w:div w:id="1764566833">
      <w:bodyDiv w:val="1"/>
      <w:marLeft w:val="0"/>
      <w:marRight w:val="0"/>
      <w:marTop w:val="0"/>
      <w:marBottom w:val="0"/>
      <w:divBdr>
        <w:top w:val="none" w:sz="0" w:space="0" w:color="auto"/>
        <w:left w:val="none" w:sz="0" w:space="0" w:color="auto"/>
        <w:bottom w:val="none" w:sz="0" w:space="0" w:color="auto"/>
        <w:right w:val="none" w:sz="0" w:space="0" w:color="auto"/>
      </w:divBdr>
    </w:div>
    <w:div w:id="1816023985">
      <w:bodyDiv w:val="1"/>
      <w:marLeft w:val="0"/>
      <w:marRight w:val="0"/>
      <w:marTop w:val="0"/>
      <w:marBottom w:val="0"/>
      <w:divBdr>
        <w:top w:val="none" w:sz="0" w:space="0" w:color="auto"/>
        <w:left w:val="none" w:sz="0" w:space="0" w:color="auto"/>
        <w:bottom w:val="none" w:sz="0" w:space="0" w:color="auto"/>
        <w:right w:val="none" w:sz="0" w:space="0" w:color="auto"/>
      </w:divBdr>
    </w:div>
    <w:div w:id="1843274978">
      <w:bodyDiv w:val="1"/>
      <w:marLeft w:val="0"/>
      <w:marRight w:val="0"/>
      <w:marTop w:val="0"/>
      <w:marBottom w:val="0"/>
      <w:divBdr>
        <w:top w:val="none" w:sz="0" w:space="0" w:color="auto"/>
        <w:left w:val="none" w:sz="0" w:space="0" w:color="auto"/>
        <w:bottom w:val="none" w:sz="0" w:space="0" w:color="auto"/>
        <w:right w:val="none" w:sz="0" w:space="0" w:color="auto"/>
      </w:divBdr>
    </w:div>
    <w:div w:id="1881355249">
      <w:bodyDiv w:val="1"/>
      <w:marLeft w:val="0"/>
      <w:marRight w:val="0"/>
      <w:marTop w:val="0"/>
      <w:marBottom w:val="0"/>
      <w:divBdr>
        <w:top w:val="none" w:sz="0" w:space="0" w:color="auto"/>
        <w:left w:val="none" w:sz="0" w:space="0" w:color="auto"/>
        <w:bottom w:val="none" w:sz="0" w:space="0" w:color="auto"/>
        <w:right w:val="none" w:sz="0" w:space="0" w:color="auto"/>
      </w:divBdr>
    </w:div>
    <w:div w:id="200686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4" Type="http://schemas.openxmlformats.org/officeDocument/2006/relationships/image" Target="media/image3.jpeg"/><Relationship Id="rId15" Type="http://schemas.openxmlformats.org/officeDocument/2006/relationships/hyperlink" Target="https://serve-learn-sustain.gatech.edu/sls-case-study-flint-water-crisis" TargetMode="External"/><Relationship Id="rId16" Type="http://schemas.openxmlformats.org/officeDocument/2006/relationships/hyperlink" Target="http://www.freep.com/story/news/local/michigan/flint-water-crisis/2017/06/14/flint-water-crisis-charges/397425001/" TargetMode="External"/><Relationship Id="rId17" Type="http://schemas.openxmlformats.org/officeDocument/2006/relationships/hyperlink" Target="http://www.urbo.com/content/how-flints-water-crisis-has-changed-its-citizens" TargetMode="External"/><Relationship Id="rId18" Type="http://schemas.openxmlformats.org/officeDocument/2006/relationships/hyperlink" Target="https://www.cnn.com/2016/03/04/us/flint-water-crisis-fast-facts/index.html" TargetMode="External"/><Relationship Id="rId19" Type="http://schemas.openxmlformats.org/officeDocument/2006/relationships/hyperlink" Target="http://www.npr.org/sections/thetwo-way/2016/04/20/465545378/lead-laced-water-in-flint-a-step-by-step-look-at-the-makings-of-a-crisis" TargetMode="External"/><Relationship Id="rId50" Type="http://schemas.openxmlformats.org/officeDocument/2006/relationships/hyperlink" Target="https://www.nasa.gov/solve/feature/i-see-change" TargetMode="External"/><Relationship Id="rId51" Type="http://schemas.openxmlformats.org/officeDocument/2006/relationships/hyperlink" Target="https://expo.nola.com/news/erry-2018/11/b64a03f8128002/climate-report-louisiana-south.html" TargetMode="External"/><Relationship Id="rId52" Type="http://schemas.openxmlformats.org/officeDocument/2006/relationships/header" Target="header1.xml"/><Relationship Id="rId53" Type="http://schemas.openxmlformats.org/officeDocument/2006/relationships/footer" Target="footer1.xml"/><Relationship Id="rId54" Type="http://schemas.openxmlformats.org/officeDocument/2006/relationships/footer" Target="footer2.xml"/><Relationship Id="rId55" Type="http://schemas.openxmlformats.org/officeDocument/2006/relationships/fontTable" Target="fontTable.xml"/><Relationship Id="rId56" Type="http://schemas.openxmlformats.org/officeDocument/2006/relationships/theme" Target="theme/theme1.xml"/><Relationship Id="rId40" Type="http://schemas.openxmlformats.org/officeDocument/2006/relationships/hyperlink" Target="http://www.wired.com/2016/10/klinenberg-transforming-communities-to-survive-climate-change/" TargetMode="External"/><Relationship Id="rId41" Type="http://schemas.openxmlformats.org/officeDocument/2006/relationships/hyperlink" Target="https://friendsofrefugees.com/" TargetMode="External"/><Relationship Id="rId42" Type="http://schemas.openxmlformats.org/officeDocument/2006/relationships/image" Target="media/image11.png"/><Relationship Id="rId43" Type="http://schemas.openxmlformats.org/officeDocument/2006/relationships/hyperlink" Target="https://sustainabledevelopment.un.org/?menu=1300" TargetMode="External"/><Relationship Id="rId44" Type="http://schemas.openxmlformats.org/officeDocument/2006/relationships/hyperlink" Target="https://sustainabledevelopment.un.org/?menu=1300" TargetMode="External"/><Relationship Id="rId45" Type="http://schemas.openxmlformats.org/officeDocument/2006/relationships/hyperlink" Target="http://www.iseechange.org/about/mission" TargetMode="External"/><Relationship Id="rId46" Type="http://schemas.openxmlformats.org/officeDocument/2006/relationships/hyperlink" Target="https://www.iseechange.org/neworleans" TargetMode="External"/><Relationship Id="rId47" Type="http://schemas.openxmlformats.org/officeDocument/2006/relationships/hyperlink" Target="https://serve-learn-sustain.gatech.edu/sls-case-study-1995-chicago-heat-wave" TargetMode="External"/><Relationship Id="rId48" Type="http://schemas.openxmlformats.org/officeDocument/2006/relationships/image" Target="media/image12.jpeg"/><Relationship Id="rId49" Type="http://schemas.openxmlformats.org/officeDocument/2006/relationships/hyperlink" Target="https://stories.iseechange.org/"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s://serve-learn-sustain.gatech.edu/big-idea/social-cultural-environmental-context" TargetMode="External"/><Relationship Id="rId30" Type="http://schemas.openxmlformats.org/officeDocument/2006/relationships/hyperlink" Target="https://www.admittingfailure.org/failure/edward-carr/" TargetMode="External"/><Relationship Id="rId31" Type="http://schemas.openxmlformats.org/officeDocument/2006/relationships/hyperlink" Target="https://www.admittingfailure.org/failure/edward-carr/" TargetMode="External"/><Relationship Id="rId32" Type="http://schemas.openxmlformats.org/officeDocument/2006/relationships/hyperlink" Target="https://www.admittingfailure.org/failure/anthony/" TargetMode="External"/><Relationship Id="rId33" Type="http://schemas.openxmlformats.org/officeDocument/2006/relationships/hyperlink" Target="https://www.admittingfailure.org/failure/mattias-goldmann/" TargetMode="External"/><Relationship Id="rId34" Type="http://schemas.openxmlformats.org/officeDocument/2006/relationships/image" Target="media/image8.jpeg"/><Relationship Id="rId35" Type="http://schemas.openxmlformats.org/officeDocument/2006/relationships/hyperlink" Target="https://www.ted.com/talks/ernesto_sirolli_want_to_help_someone_shut_up_and_listen?language=en" TargetMode="External"/><Relationship Id="rId36" Type="http://schemas.openxmlformats.org/officeDocument/2006/relationships/image" Target="media/image9.jpeg"/><Relationship Id="rId37" Type="http://schemas.openxmlformats.org/officeDocument/2006/relationships/hyperlink" Target="https://dl.acm.org/citation.cfm?id=2737856.2738016" TargetMode="External"/><Relationship Id="rId38" Type="http://schemas.openxmlformats.org/officeDocument/2006/relationships/image" Target="media/image10.jpeg"/><Relationship Id="rId39" Type="http://schemas.openxmlformats.org/officeDocument/2006/relationships/hyperlink" Target="https://serve-learn-sustain.gatech.edu/1995-chicago-heat-wave" TargetMode="External"/><Relationship Id="rId20" Type="http://schemas.openxmlformats.org/officeDocument/2006/relationships/image" Target="media/image4.jpeg"/><Relationship Id="rId21" Type="http://schemas.openxmlformats.org/officeDocument/2006/relationships/hyperlink" Target="http://www.atlantamagazine.com/great-reads/marta-tsplost-transportation/" TargetMode="External"/><Relationship Id="rId22" Type="http://schemas.openxmlformats.org/officeDocument/2006/relationships/hyperlink" Target="http://psequity.org/wp-content/uploads/2017/10/2017-PSE-Opportunity-Deferred.pdf" TargetMode="External"/><Relationship Id="rId23" Type="http://schemas.openxmlformats.org/officeDocument/2006/relationships/hyperlink" Target="https://smartech.gatech.edu/handle/1853/56425" TargetMode="External"/><Relationship Id="rId24" Type="http://schemas.openxmlformats.org/officeDocument/2006/relationships/image" Target="media/image5.jpeg"/><Relationship Id="rId25" Type="http://schemas.openxmlformats.org/officeDocument/2006/relationships/hyperlink" Target="https://www.youtube.com/watch?v=qJZ1-LAFOTo" TargetMode="External"/><Relationship Id="rId26" Type="http://schemas.openxmlformats.org/officeDocument/2006/relationships/image" Target="media/image6.jpeg"/><Relationship Id="rId27" Type="http://schemas.openxmlformats.org/officeDocument/2006/relationships/hyperlink" Target="https://www.theguardian.com/cities/2015/apr/22/pruitt-igoe-high-rise-urban-america-history-cities" TargetMode="External"/><Relationship Id="rId28" Type="http://schemas.openxmlformats.org/officeDocument/2006/relationships/hyperlink" Target="https://www.huduser.gov/portal/pdredge/pdr_edge_featd_article_110314.html" TargetMode="External"/><Relationship Id="rId29" Type="http://schemas.openxmlformats.org/officeDocument/2006/relationships/image" Target="media/image7.jpeg"/><Relationship Id="rId10" Type="http://schemas.openxmlformats.org/officeDocument/2006/relationships/hyperlink" Target="https://serve-learn-sustain.gatech.edu/big-idea/sustainable-urban-development" TargetMode="External"/><Relationship Id="rId11" Type="http://schemas.openxmlformats.org/officeDocument/2006/relationships/hyperlink" Target="http://serve-learn-sustain.gatech.edu/tool-category/assessment" TargetMode="External"/><Relationship Id="rId12" Type="http://schemas.openxmlformats.org/officeDocument/2006/relationships/hyperlink" Target="mailto:jennifer.hirsch@gatech.ed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erve-learn-sustain.gatech.edu/teaching-toolk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erve-learn-sustain.gatech.edu/teaching-toolk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8E90F-EF3B-4D47-A2C4-7A5121650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21</Pages>
  <Words>6746</Words>
  <Characters>38455</Characters>
  <Application>Microsoft Macintosh Word</Application>
  <DocSecurity>0</DocSecurity>
  <Lines>320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Katherine A</dc:creator>
  <cp:keywords/>
  <dc:description/>
  <cp:lastModifiedBy>Molly Slavin</cp:lastModifiedBy>
  <cp:revision>127</cp:revision>
  <dcterms:created xsi:type="dcterms:W3CDTF">2019-01-16T15:25:00Z</dcterms:created>
  <dcterms:modified xsi:type="dcterms:W3CDTF">2019-07-31T19:56:00Z</dcterms:modified>
</cp:coreProperties>
</file>